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                                                Do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entlik Dosyas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vertAlign w:val="superscript"/>
        </w:rPr>
        <w:footnoteReference w:id="1"/>
      </w:r>
    </w:p>
    <w:p>
      <w:pPr>
        <w:pStyle w:val="Gövde"/>
        <w:rPr>
          <w:sz w:val="26"/>
          <w:szCs w:val="26"/>
        </w:rPr>
      </w:pPr>
    </w:p>
    <w:p>
      <w:pPr>
        <w:pStyle w:val="Gövde"/>
        <w:rPr>
          <w:sz w:val="26"/>
          <w:szCs w:val="26"/>
        </w:rPr>
      </w:pPr>
    </w:p>
    <w:p>
      <w:pPr>
        <w:pStyle w:val="Gövde"/>
        <w:rPr>
          <w:sz w:val="26"/>
          <w:szCs w:val="26"/>
        </w:rPr>
      </w:pPr>
    </w:p>
    <w:p>
      <w:pPr>
        <w:pStyle w:val="Gövde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Do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entlik ile ilgili sorunlar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ele al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nd</w:t>
      </w:r>
      <w:r>
        <w:rPr>
          <w:sz w:val="26"/>
          <w:szCs w:val="26"/>
          <w:rtl w:val="0"/>
        </w:rPr>
        <w:t xml:space="preserve">ığı </w:t>
      </w:r>
      <w:r>
        <w:rPr>
          <w:sz w:val="26"/>
          <w:szCs w:val="26"/>
          <w:rtl w:val="0"/>
        </w:rPr>
        <w:t>bu paneli d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zenleyenleri kutluyorum. Sorun son derece 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 xml:space="preserve">nemli; </w:t>
      </w:r>
      <w:r>
        <w:rPr>
          <w:sz w:val="26"/>
          <w:szCs w:val="26"/>
          <w:rtl w:val="0"/>
        </w:rPr>
        <w:t>çü</w:t>
      </w:r>
      <w:r>
        <w:rPr>
          <w:sz w:val="26"/>
          <w:szCs w:val="26"/>
          <w:rtl w:val="0"/>
        </w:rPr>
        <w:t>nk</w:t>
      </w:r>
      <w:r>
        <w:rPr>
          <w:sz w:val="26"/>
          <w:szCs w:val="26"/>
          <w:rtl w:val="0"/>
        </w:rPr>
        <w:t xml:space="preserve">ü </w:t>
      </w:r>
      <w:r>
        <w:rPr>
          <w:sz w:val="26"/>
          <w:szCs w:val="26"/>
          <w:rtl w:val="0"/>
        </w:rPr>
        <w:t>do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entlik, akademik hayat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n kesinlikle 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ok temel bir a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amas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. </w:t>
      </w:r>
    </w:p>
    <w:p>
      <w:pPr>
        <w:pStyle w:val="Gövde"/>
        <w:jc w:val="both"/>
        <w:rPr>
          <w:sz w:val="26"/>
          <w:szCs w:val="26"/>
        </w:rPr>
      </w:pPr>
    </w:p>
    <w:p>
      <w:pPr>
        <w:pStyle w:val="Gövde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Do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entlik konusu g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ndeme geldi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 xml:space="preserve">inde 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 xml:space="preserve">ncelikle  </w:t>
      </w: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</w:rPr>
        <w:t>do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entlik</w:t>
      </w:r>
      <w:r>
        <w:rPr>
          <w:sz w:val="26"/>
          <w:szCs w:val="26"/>
          <w:rtl w:val="0"/>
        </w:rPr>
        <w:t xml:space="preserve">” </w:t>
      </w:r>
      <w:r>
        <w:rPr>
          <w:sz w:val="26"/>
          <w:szCs w:val="26"/>
          <w:rtl w:val="0"/>
        </w:rPr>
        <w:t>kavram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bir tan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m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yap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lmal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 xml:space="preserve">ve bu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nvan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kazan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lmas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na ili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kin d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zenlemeler de </w:t>
      </w:r>
      <w:r>
        <w:rPr>
          <w:sz w:val="26"/>
          <w:szCs w:val="26"/>
          <w:rtl w:val="0"/>
        </w:rPr>
        <w:t>bu tan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m </w:t>
      </w:r>
      <w:r>
        <w:rPr>
          <w:sz w:val="26"/>
          <w:szCs w:val="26"/>
          <w:rtl w:val="0"/>
        </w:rPr>
        <w:t>dikkate al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narak ger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ekle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tirilmelidir. Do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entli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 xml:space="preserve">in akademik bir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nvan oldu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 xml:space="preserve">u, idari bir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nvan olmad</w:t>
      </w:r>
      <w:r>
        <w:rPr>
          <w:sz w:val="26"/>
          <w:szCs w:val="26"/>
          <w:rtl w:val="0"/>
        </w:rPr>
        <w:t>ığı</w:t>
      </w:r>
      <w:r>
        <w:rPr>
          <w:sz w:val="26"/>
          <w:szCs w:val="26"/>
          <w:rtl w:val="0"/>
        </w:rPr>
        <w:t>, verilecek tan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ma ve yap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lacak d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zenlemeye net bir 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ekilde yans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lmal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d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r. </w:t>
      </w:r>
    </w:p>
    <w:p>
      <w:pPr>
        <w:pStyle w:val="Gövde"/>
        <w:jc w:val="both"/>
        <w:rPr>
          <w:sz w:val="26"/>
          <w:szCs w:val="26"/>
        </w:rPr>
      </w:pPr>
    </w:p>
    <w:p>
      <w:pPr>
        <w:pStyle w:val="Gövde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Bu anlay</w:t>
      </w:r>
      <w:r>
        <w:rPr>
          <w:sz w:val="26"/>
          <w:szCs w:val="26"/>
          <w:rtl w:val="0"/>
        </w:rPr>
        <w:t>ış şü</w:t>
      </w:r>
      <w:r>
        <w:rPr>
          <w:sz w:val="26"/>
          <w:szCs w:val="26"/>
          <w:rtl w:val="0"/>
        </w:rPr>
        <w:t>phesiz herkes taraf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ndan kolayca kabul edilebilir; fakat fiiliyatta durumun b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yle olmad</w:t>
      </w:r>
      <w:r>
        <w:rPr>
          <w:sz w:val="26"/>
          <w:szCs w:val="26"/>
          <w:rtl w:val="0"/>
        </w:rPr>
        <w:t>ığı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da s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ylemek yerinde olacakt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r. Akademik ilerleme, akademik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nvanlara sahip olmak de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 xml:space="preserve">ildir; akademik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nvanlar asl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nda akademik ba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bir g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stergesi olmal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d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r. Bunun i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 xml:space="preserve">in de, </w:t>
      </w: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</w:rPr>
        <w:t>do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ent</w:t>
      </w:r>
      <w:r>
        <w:rPr>
          <w:sz w:val="26"/>
          <w:szCs w:val="26"/>
          <w:rtl w:val="0"/>
        </w:rPr>
        <w:t xml:space="preserve">” </w:t>
      </w:r>
      <w:r>
        <w:rPr>
          <w:sz w:val="26"/>
          <w:szCs w:val="26"/>
          <w:rtl w:val="0"/>
        </w:rPr>
        <w:t>olman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ne oldu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u sorgulanmal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; verilecek tan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m, yap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lacak d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zenlemelere gerek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eli olarak yol g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sterebilmelidir.</w:t>
      </w:r>
    </w:p>
    <w:p>
      <w:pPr>
        <w:pStyle w:val="Gövde"/>
        <w:jc w:val="both"/>
        <w:rPr>
          <w:sz w:val="26"/>
          <w:szCs w:val="26"/>
        </w:rPr>
      </w:pPr>
    </w:p>
    <w:p>
      <w:pPr>
        <w:pStyle w:val="Gövde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Do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entli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 xml:space="preserve">in akademik 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zelliklerini ortaya koyabilmek i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in san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m 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 xml:space="preserve">nce doktora 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al</w:t>
      </w:r>
      <w:r>
        <w:rPr>
          <w:sz w:val="26"/>
          <w:szCs w:val="26"/>
          <w:rtl w:val="0"/>
        </w:rPr>
        <w:t>ış</w:t>
      </w:r>
      <w:r>
        <w:rPr>
          <w:sz w:val="26"/>
          <w:szCs w:val="26"/>
          <w:rtl w:val="0"/>
        </w:rPr>
        <w:t>mas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ne oldu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unu sorgulamak yerinde olacakt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r. </w:t>
      </w:r>
    </w:p>
    <w:p>
      <w:pPr>
        <w:pStyle w:val="Gövde"/>
        <w:jc w:val="both"/>
        <w:rPr>
          <w:sz w:val="26"/>
          <w:szCs w:val="26"/>
        </w:rPr>
      </w:pPr>
    </w:p>
    <w:p>
      <w:pPr>
        <w:pStyle w:val="Gövde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Doktora 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al</w:t>
      </w:r>
      <w:r>
        <w:rPr>
          <w:sz w:val="26"/>
          <w:szCs w:val="26"/>
          <w:rtl w:val="0"/>
        </w:rPr>
        <w:t>ış</w:t>
      </w:r>
      <w:r>
        <w:rPr>
          <w:sz w:val="26"/>
          <w:szCs w:val="26"/>
          <w:rtl w:val="0"/>
        </w:rPr>
        <w:t>mas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 xml:space="preserve">ncelikle bir </w:t>
      </w:r>
      <w:r>
        <w:rPr>
          <w:sz w:val="26"/>
          <w:szCs w:val="26"/>
          <w:rtl w:val="0"/>
        </w:rPr>
        <w:t>‘</w:t>
      </w:r>
      <w:r>
        <w:rPr>
          <w:sz w:val="26"/>
          <w:szCs w:val="26"/>
          <w:rtl w:val="0"/>
        </w:rPr>
        <w:t>ara</w:t>
      </w:r>
      <w:r>
        <w:rPr>
          <w:sz w:val="26"/>
          <w:szCs w:val="26"/>
          <w:rtl w:val="0"/>
        </w:rPr>
        <w:t>ç’ı</w:t>
      </w:r>
      <w:r>
        <w:rPr>
          <w:sz w:val="26"/>
          <w:szCs w:val="26"/>
          <w:rtl w:val="0"/>
        </w:rPr>
        <w:t>n kullan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lmas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n </w:t>
      </w:r>
      <w:r>
        <w:rPr>
          <w:sz w:val="26"/>
          <w:szCs w:val="26"/>
          <w:rtl w:val="0"/>
        </w:rPr>
        <w:t>öğ</w:t>
      </w:r>
      <w:r>
        <w:rPr>
          <w:sz w:val="26"/>
          <w:szCs w:val="26"/>
          <w:rtl w:val="0"/>
        </w:rPr>
        <w:t>renilmesidir. Doktora hocas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öğ</w:t>
      </w:r>
      <w:r>
        <w:rPr>
          <w:sz w:val="26"/>
          <w:szCs w:val="26"/>
          <w:rtl w:val="0"/>
        </w:rPr>
        <w:t xml:space="preserve">rencisi ile birlikte 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nce bir sorun belirler; ve sorunla ilgili kaynak  taramas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yap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r. B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ylece ara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rma alan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rlanm</w:t>
      </w:r>
      <w:r>
        <w:rPr>
          <w:sz w:val="26"/>
          <w:szCs w:val="26"/>
          <w:rtl w:val="0"/>
        </w:rPr>
        <w:t>ış</w:t>
      </w:r>
      <w:r>
        <w:rPr>
          <w:sz w:val="26"/>
          <w:szCs w:val="26"/>
          <w:rtl w:val="0"/>
        </w:rPr>
        <w:t>, yani bir anlamda sondaj b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lgesi belirlenmi</w:t>
      </w:r>
      <w:r>
        <w:rPr>
          <w:sz w:val="26"/>
          <w:szCs w:val="26"/>
          <w:rtl w:val="0"/>
        </w:rPr>
        <w:t xml:space="preserve">ş </w:t>
      </w:r>
      <w:r>
        <w:rPr>
          <w:sz w:val="26"/>
          <w:szCs w:val="26"/>
          <w:rtl w:val="0"/>
        </w:rPr>
        <w:t xml:space="preserve">olur. Doktora 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al</w:t>
      </w:r>
      <w:r>
        <w:rPr>
          <w:sz w:val="26"/>
          <w:szCs w:val="26"/>
          <w:rtl w:val="0"/>
        </w:rPr>
        <w:t>ış</w:t>
      </w:r>
      <w:r>
        <w:rPr>
          <w:sz w:val="26"/>
          <w:szCs w:val="26"/>
          <w:rtl w:val="0"/>
        </w:rPr>
        <w:t>mas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ndaki temel hedef, sondaj yapmay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, yani bir sorunu derinlemesine incelemeyi </w:t>
      </w:r>
      <w:r>
        <w:rPr>
          <w:sz w:val="26"/>
          <w:szCs w:val="26"/>
          <w:rtl w:val="0"/>
        </w:rPr>
        <w:t>öğ</w:t>
      </w:r>
      <w:r>
        <w:rPr>
          <w:sz w:val="26"/>
          <w:szCs w:val="26"/>
          <w:rtl w:val="0"/>
        </w:rPr>
        <w:t>renmektir. Bu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rece elbette kullan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lacak ara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lar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tan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nmas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ve onlar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kullanma becerisinin kazan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lmas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 xml:space="preserve">da dahildir. </w:t>
      </w:r>
    </w:p>
    <w:p>
      <w:pPr>
        <w:pStyle w:val="Gövde"/>
        <w:jc w:val="both"/>
        <w:rPr>
          <w:sz w:val="26"/>
          <w:szCs w:val="26"/>
        </w:rPr>
      </w:pPr>
    </w:p>
    <w:p>
      <w:pPr>
        <w:pStyle w:val="Gövde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Se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ilen sorun veya konuyu derinli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ine inceleyebilmek (sondaj yapmay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) </w:t>
      </w:r>
      <w:r>
        <w:rPr>
          <w:sz w:val="26"/>
          <w:szCs w:val="26"/>
          <w:rtl w:val="0"/>
        </w:rPr>
        <w:t>öğ</w:t>
      </w:r>
      <w:r>
        <w:rPr>
          <w:sz w:val="26"/>
          <w:szCs w:val="26"/>
          <w:rtl w:val="0"/>
        </w:rPr>
        <w:t>renmek, bir y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ntem edinmek demektir. Bu y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 xml:space="preserve">ntem 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 xml:space="preserve">ncelikle ve 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zellikle sorunun tan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m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, analizini ve sentezini yapabilme becerisini de i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ermek durumundad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r. Bu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re</w:t>
      </w:r>
      <w:r>
        <w:rPr>
          <w:sz w:val="26"/>
          <w:szCs w:val="26"/>
          <w:rtl w:val="0"/>
        </w:rPr>
        <w:t xml:space="preserve">ç </w:t>
      </w:r>
      <w:r>
        <w:rPr>
          <w:sz w:val="26"/>
          <w:szCs w:val="26"/>
          <w:rtl w:val="0"/>
        </w:rPr>
        <w:t>ayn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zamanda  kaynaklar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(eldeki malzemenin) yerli yerinde kullan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lmas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ve verimli olarak de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 xml:space="preserve">erlendirilmesinin </w:t>
      </w:r>
      <w:r>
        <w:rPr>
          <w:sz w:val="26"/>
          <w:szCs w:val="26"/>
          <w:rtl w:val="0"/>
        </w:rPr>
        <w:t>öğ</w:t>
      </w:r>
      <w:r>
        <w:rPr>
          <w:sz w:val="26"/>
          <w:szCs w:val="26"/>
          <w:rtl w:val="0"/>
        </w:rPr>
        <w:t>renilmesi anlam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na gelir. </w:t>
      </w:r>
    </w:p>
    <w:p>
      <w:pPr>
        <w:pStyle w:val="Gövde"/>
        <w:jc w:val="both"/>
        <w:rPr>
          <w:sz w:val="26"/>
          <w:szCs w:val="26"/>
        </w:rPr>
      </w:pPr>
    </w:p>
    <w:p>
      <w:pPr>
        <w:pStyle w:val="Gövde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Do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entlik a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amas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, ki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inin bir sorunla ilgili olarak kendi g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üşü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öğ</w:t>
      </w:r>
      <w:r>
        <w:rPr>
          <w:sz w:val="26"/>
          <w:szCs w:val="26"/>
          <w:rtl w:val="0"/>
        </w:rPr>
        <w:t xml:space="preserve">retisini (-bir </w:t>
      </w:r>
      <w:r>
        <w:rPr>
          <w:sz w:val="26"/>
          <w:szCs w:val="26"/>
          <w:rtl w:val="0"/>
        </w:rPr>
        <w:t>‘</w:t>
      </w:r>
      <w:r>
        <w:rPr>
          <w:sz w:val="26"/>
          <w:szCs w:val="26"/>
          <w:rtl w:val="0"/>
        </w:rPr>
        <w:t>doktrin</w:t>
      </w:r>
      <w:r>
        <w:rPr>
          <w:sz w:val="26"/>
          <w:szCs w:val="26"/>
          <w:rtl w:val="0"/>
        </w:rPr>
        <w:t>’</w:t>
      </w:r>
      <w:r>
        <w:rPr>
          <w:sz w:val="26"/>
          <w:szCs w:val="26"/>
          <w:rtl w:val="0"/>
        </w:rPr>
        <w:t>-) ortaya koyma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recidir. Bu da </w:t>
      </w:r>
      <w:r>
        <w:rPr>
          <w:sz w:val="26"/>
          <w:szCs w:val="26"/>
          <w:rtl w:val="0"/>
        </w:rPr>
        <w:t>doktora 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ras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nda elde </w:t>
      </w:r>
      <w:r>
        <w:rPr>
          <w:sz w:val="26"/>
          <w:szCs w:val="26"/>
          <w:rtl w:val="0"/>
        </w:rPr>
        <w:t>edilmi</w:t>
      </w:r>
      <w:r>
        <w:rPr>
          <w:sz w:val="26"/>
          <w:szCs w:val="26"/>
          <w:rtl w:val="0"/>
        </w:rPr>
        <w:t xml:space="preserve">ş </w:t>
      </w:r>
      <w:r>
        <w:rPr>
          <w:sz w:val="26"/>
          <w:szCs w:val="26"/>
          <w:rtl w:val="0"/>
        </w:rPr>
        <w:t xml:space="preserve">olan </w:t>
      </w:r>
      <w:r>
        <w:rPr>
          <w:sz w:val="26"/>
          <w:szCs w:val="26"/>
          <w:rtl w:val="0"/>
        </w:rPr>
        <w:t>becerilerin</w:t>
      </w:r>
      <w:r>
        <w:rPr>
          <w:sz w:val="26"/>
          <w:szCs w:val="26"/>
          <w:rtl w:val="0"/>
        </w:rPr>
        <w:t xml:space="preserve"> kullan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lmas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yla sa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lanabilir. Dolay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yla do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entlik, idari a</w:t>
      </w:r>
      <w:r>
        <w:rPr>
          <w:sz w:val="26"/>
          <w:szCs w:val="26"/>
          <w:rtl w:val="0"/>
        </w:rPr>
        <w:t>çı</w:t>
      </w:r>
      <w:r>
        <w:rPr>
          <w:sz w:val="26"/>
          <w:szCs w:val="26"/>
          <w:rtl w:val="0"/>
        </w:rPr>
        <w:t xml:space="preserve">dan bir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st basma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a ge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mek de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 xml:space="preserve">ildir; belirli ilkeler 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er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evesinde kazan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lm</w:t>
      </w:r>
      <w:r>
        <w:rPr>
          <w:sz w:val="26"/>
          <w:szCs w:val="26"/>
          <w:rtl w:val="0"/>
        </w:rPr>
        <w:t xml:space="preserve">ış </w:t>
      </w:r>
      <w:r>
        <w:rPr>
          <w:sz w:val="26"/>
          <w:szCs w:val="26"/>
          <w:rtl w:val="0"/>
        </w:rPr>
        <w:t>bir becerinin uygulanmas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d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r. </w:t>
      </w:r>
    </w:p>
    <w:p>
      <w:pPr>
        <w:pStyle w:val="Gövde"/>
        <w:jc w:val="both"/>
        <w:rPr>
          <w:sz w:val="26"/>
          <w:szCs w:val="26"/>
        </w:rPr>
      </w:pPr>
    </w:p>
    <w:p>
      <w:pPr>
        <w:pStyle w:val="Gövde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Bilindi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 xml:space="preserve">i gibi </w:t>
      </w: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</w:rPr>
        <w:t>do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entlik</w:t>
      </w:r>
      <w:r>
        <w:rPr>
          <w:sz w:val="26"/>
          <w:szCs w:val="26"/>
          <w:rtl w:val="0"/>
        </w:rPr>
        <w:t xml:space="preserve">” </w:t>
      </w:r>
      <w:r>
        <w:rPr>
          <w:sz w:val="26"/>
          <w:szCs w:val="26"/>
          <w:rtl w:val="0"/>
        </w:rPr>
        <w:t xml:space="preserve">ve </w:t>
      </w: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</w:rPr>
        <w:t>doktora</w:t>
      </w:r>
      <w:r>
        <w:rPr>
          <w:sz w:val="26"/>
          <w:szCs w:val="26"/>
          <w:rtl w:val="0"/>
        </w:rPr>
        <w:t xml:space="preserve">” </w:t>
      </w:r>
      <w:r>
        <w:rPr>
          <w:sz w:val="26"/>
          <w:szCs w:val="26"/>
          <w:rtl w:val="0"/>
        </w:rPr>
        <w:t>ayn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Latince k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 xml:space="preserve">kten (docere) gelen ve </w:t>
      </w:r>
      <w:r>
        <w:rPr>
          <w:sz w:val="26"/>
          <w:szCs w:val="26"/>
          <w:rtl w:val="0"/>
        </w:rPr>
        <w:t>“öğ</w:t>
      </w:r>
      <w:r>
        <w:rPr>
          <w:sz w:val="26"/>
          <w:szCs w:val="26"/>
          <w:rtl w:val="0"/>
        </w:rPr>
        <w:t>retmek</w:t>
      </w:r>
      <w:r>
        <w:rPr>
          <w:sz w:val="26"/>
          <w:szCs w:val="26"/>
          <w:rtl w:val="0"/>
        </w:rPr>
        <w:t xml:space="preserve">” </w:t>
      </w:r>
      <w:r>
        <w:rPr>
          <w:sz w:val="26"/>
          <w:szCs w:val="26"/>
          <w:rtl w:val="0"/>
        </w:rPr>
        <w:t>anlam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ta</w:t>
      </w:r>
      <w:r>
        <w:rPr>
          <w:sz w:val="26"/>
          <w:szCs w:val="26"/>
          <w:rtl w:val="0"/>
        </w:rPr>
        <w:t>şı</w:t>
      </w:r>
      <w:r>
        <w:rPr>
          <w:sz w:val="26"/>
          <w:szCs w:val="26"/>
          <w:rtl w:val="0"/>
        </w:rPr>
        <w:t>yan kavramlard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r. Dolay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yla da </w:t>
      </w:r>
      <w:r>
        <w:rPr>
          <w:sz w:val="26"/>
          <w:szCs w:val="26"/>
          <w:rtl w:val="0"/>
        </w:rPr>
        <w:t>“öğ</w:t>
      </w:r>
      <w:r>
        <w:rPr>
          <w:sz w:val="26"/>
          <w:szCs w:val="26"/>
          <w:rtl w:val="0"/>
        </w:rPr>
        <w:t>retmen</w:t>
      </w:r>
      <w:r>
        <w:rPr>
          <w:sz w:val="26"/>
          <w:szCs w:val="26"/>
          <w:rtl w:val="0"/>
        </w:rPr>
        <w:t xml:space="preserve">” </w:t>
      </w:r>
      <w:r>
        <w:rPr>
          <w:sz w:val="26"/>
          <w:szCs w:val="26"/>
          <w:rtl w:val="0"/>
        </w:rPr>
        <w:t>anlam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nda ve bir meslek ad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olarak da kullan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labilmektedir</w:t>
      </w:r>
      <w:r>
        <w:rPr>
          <w:sz w:val="26"/>
          <w:szCs w:val="26"/>
          <w:vertAlign w:val="superscript"/>
        </w:rPr>
        <w:footnoteReference w:id="2"/>
      </w:r>
      <w:r>
        <w:rPr>
          <w:sz w:val="26"/>
          <w:szCs w:val="26"/>
          <w:rtl w:val="0"/>
        </w:rPr>
        <w:t>. Nitekim (Almanca'da) m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zelerde konuyla ilgili bilgi sahibi olarak rehberlik yapan ki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 xml:space="preserve">ilere de  </w:t>
      </w: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</w:rPr>
        <w:t>docent</w:t>
      </w:r>
      <w:r>
        <w:rPr>
          <w:sz w:val="26"/>
          <w:szCs w:val="26"/>
          <w:rtl w:val="0"/>
        </w:rPr>
        <w:t xml:space="preserve">” </w:t>
      </w:r>
      <w:r>
        <w:rPr>
          <w:sz w:val="26"/>
          <w:szCs w:val="26"/>
          <w:rtl w:val="0"/>
        </w:rPr>
        <w:t>denilmektedir.  Buna kar</w:t>
      </w:r>
      <w:r>
        <w:rPr>
          <w:sz w:val="26"/>
          <w:szCs w:val="26"/>
          <w:rtl w:val="0"/>
        </w:rPr>
        <w:t>şı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  ayn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 xml:space="preserve">Latince kelime, 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rne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 xml:space="preserve">in </w:t>
      </w: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</w:rPr>
        <w:t xml:space="preserve">Marksist </w:t>
      </w:r>
      <w:r>
        <w:rPr>
          <w:sz w:val="26"/>
          <w:szCs w:val="26"/>
          <w:rtl w:val="0"/>
        </w:rPr>
        <w:t>öğ</w:t>
      </w:r>
      <w:r>
        <w:rPr>
          <w:sz w:val="26"/>
          <w:szCs w:val="26"/>
          <w:rtl w:val="0"/>
        </w:rPr>
        <w:t>reti</w:t>
      </w:r>
      <w:r>
        <w:rPr>
          <w:sz w:val="26"/>
          <w:szCs w:val="26"/>
          <w:rtl w:val="0"/>
        </w:rPr>
        <w:t xml:space="preserve">” </w:t>
      </w:r>
      <w:r>
        <w:rPr>
          <w:sz w:val="26"/>
          <w:szCs w:val="26"/>
          <w:rtl w:val="0"/>
        </w:rPr>
        <w:t>anlam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nda yani </w:t>
      </w: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</w:rPr>
        <w:t>Marksist ideoloji/doktrin</w:t>
      </w:r>
      <w:r>
        <w:rPr>
          <w:sz w:val="26"/>
          <w:szCs w:val="26"/>
          <w:rtl w:val="0"/>
        </w:rPr>
        <w:t>” ş</w:t>
      </w:r>
      <w:r>
        <w:rPr>
          <w:sz w:val="26"/>
          <w:szCs w:val="26"/>
          <w:rtl w:val="0"/>
        </w:rPr>
        <w:t>eklinde de kar</w:t>
      </w:r>
      <w:r>
        <w:rPr>
          <w:sz w:val="26"/>
          <w:szCs w:val="26"/>
          <w:rtl w:val="0"/>
        </w:rPr>
        <w:t>şı</w:t>
      </w:r>
      <w:r>
        <w:rPr>
          <w:sz w:val="26"/>
          <w:szCs w:val="26"/>
          <w:rtl w:val="0"/>
        </w:rPr>
        <w:t>m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za </w:t>
      </w:r>
      <w:r>
        <w:rPr>
          <w:sz w:val="26"/>
          <w:szCs w:val="26"/>
          <w:rtl w:val="0"/>
        </w:rPr>
        <w:t>çı</w:t>
      </w:r>
      <w:r>
        <w:rPr>
          <w:sz w:val="26"/>
          <w:szCs w:val="26"/>
          <w:rtl w:val="0"/>
        </w:rPr>
        <w:t xml:space="preserve">kabilmektedir. </w:t>
      </w:r>
      <w:r>
        <w:rPr>
          <w:sz w:val="26"/>
          <w:szCs w:val="26"/>
          <w:rtl w:val="0"/>
        </w:rPr>
        <w:t>İ</w:t>
      </w:r>
      <w:r>
        <w:rPr>
          <w:sz w:val="26"/>
          <w:szCs w:val="26"/>
          <w:rtl w:val="0"/>
        </w:rPr>
        <w:t>lgin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tir, asl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nda </w:t>
      </w:r>
      <w:r>
        <w:rPr>
          <w:sz w:val="26"/>
          <w:szCs w:val="26"/>
          <w:rtl w:val="0"/>
          <w:lang w:val="pt-PT"/>
        </w:rPr>
        <w:t xml:space="preserve">idari 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zell</w:t>
      </w:r>
      <w:r>
        <w:rPr>
          <w:sz w:val="26"/>
          <w:szCs w:val="26"/>
          <w:rtl w:val="0"/>
        </w:rPr>
        <w:t>ik ta</w:t>
      </w:r>
      <w:r>
        <w:rPr>
          <w:sz w:val="26"/>
          <w:szCs w:val="26"/>
          <w:rtl w:val="0"/>
        </w:rPr>
        <w:t>şı</w:t>
      </w:r>
      <w:r>
        <w:rPr>
          <w:sz w:val="26"/>
          <w:szCs w:val="26"/>
          <w:rtl w:val="0"/>
        </w:rPr>
        <w:t xml:space="preserve">yan bir kavram tam tersine akademik bir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nvan olarak da anla</w:t>
      </w:r>
      <w:r>
        <w:rPr>
          <w:sz w:val="26"/>
          <w:szCs w:val="26"/>
          <w:rtl w:val="0"/>
        </w:rPr>
        <w:t>şı</w:t>
      </w:r>
      <w:r>
        <w:rPr>
          <w:sz w:val="26"/>
          <w:szCs w:val="26"/>
          <w:rtl w:val="0"/>
        </w:rPr>
        <w:t xml:space="preserve">labilmektedir. 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rne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 xml:space="preserve">in </w:t>
      </w: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</w:rPr>
        <w:t>ordinary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s profes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”</w:t>
      </w:r>
      <w:r>
        <w:rPr>
          <w:sz w:val="26"/>
          <w:szCs w:val="26"/>
          <w:rtl w:val="0"/>
        </w:rPr>
        <w:t>, profes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rl</w:t>
      </w:r>
      <w:r>
        <w:rPr>
          <w:sz w:val="26"/>
          <w:szCs w:val="26"/>
          <w:rtl w:val="0"/>
        </w:rPr>
        <w:t>üğü</w:t>
      </w:r>
      <w:r>
        <w:rPr>
          <w:sz w:val="26"/>
          <w:szCs w:val="26"/>
          <w:rtl w:val="0"/>
        </w:rPr>
        <w:t xml:space="preserve">n bir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st basama</w:t>
      </w:r>
      <w:r>
        <w:rPr>
          <w:sz w:val="26"/>
          <w:szCs w:val="26"/>
          <w:rtl w:val="0"/>
        </w:rPr>
        <w:t xml:space="preserve">ğı </w:t>
      </w:r>
      <w:r>
        <w:rPr>
          <w:sz w:val="26"/>
          <w:szCs w:val="26"/>
          <w:rtl w:val="0"/>
        </w:rPr>
        <w:t>olmay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p, asl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nda  idari bir konum ifade etmektedir; benzeri 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ekilde hekimlik mesle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 ile doktora yapm</w:t>
      </w:r>
      <w:r>
        <w:rPr>
          <w:sz w:val="26"/>
          <w:szCs w:val="26"/>
          <w:rtl w:val="0"/>
        </w:rPr>
        <w:t xml:space="preserve">ış </w:t>
      </w:r>
      <w:r>
        <w:rPr>
          <w:sz w:val="26"/>
          <w:szCs w:val="26"/>
          <w:rtl w:val="0"/>
        </w:rPr>
        <w:t>olmak aras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ndaki farka da dikkat edilmemektedir. Dolay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yla 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nemli olan, kavramlar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akademik i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eriklerini olmas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 xml:space="preserve">gereken 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ekilde tan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mlamak, b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ylece akademik 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leyi</w:t>
      </w:r>
      <w:r>
        <w:rPr>
          <w:sz w:val="26"/>
          <w:szCs w:val="26"/>
          <w:rtl w:val="0"/>
        </w:rPr>
        <w:t xml:space="preserve">ş </w:t>
      </w: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indeki g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revlerini do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 xml:space="preserve">ru bir 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ekilde kurgulamakt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r. Akademik bir kurumun </w:t>
      </w: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</w:rPr>
        <w:t>do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ent</w:t>
      </w:r>
      <w:r>
        <w:rPr>
          <w:sz w:val="26"/>
          <w:szCs w:val="26"/>
          <w:rtl w:val="0"/>
        </w:rPr>
        <w:t xml:space="preserve">” </w:t>
      </w:r>
      <w:r>
        <w:rPr>
          <w:sz w:val="26"/>
          <w:szCs w:val="26"/>
          <w:rtl w:val="0"/>
        </w:rPr>
        <w:t>kavram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i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eri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ini, bu kavramdan ne anla</w:t>
      </w:r>
      <w:r>
        <w:rPr>
          <w:sz w:val="26"/>
          <w:szCs w:val="26"/>
          <w:rtl w:val="0"/>
        </w:rPr>
        <w:t>şı</w:t>
      </w:r>
      <w:r>
        <w:rPr>
          <w:sz w:val="26"/>
          <w:szCs w:val="26"/>
          <w:rtl w:val="0"/>
        </w:rPr>
        <w:t>lmas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gerekti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ini, a</w:t>
      </w:r>
      <w:r>
        <w:rPr>
          <w:sz w:val="26"/>
          <w:szCs w:val="26"/>
          <w:rtl w:val="0"/>
        </w:rPr>
        <w:t>çı</w:t>
      </w:r>
      <w:r>
        <w:rPr>
          <w:sz w:val="26"/>
          <w:szCs w:val="26"/>
          <w:rtl w:val="0"/>
        </w:rPr>
        <w:t>k ve net olarak ortaya koymas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son derece yerinde olacakt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r. Bu sayede  adaylar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do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ent olma ama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lar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 xml:space="preserve">olumlu ve gerekli bir 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ekilde y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nlendirme ve ger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ekle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tirme imkan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 xml:space="preserve">elde edilebilir. Bu 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ekilde d</w:t>
      </w:r>
      <w:r>
        <w:rPr>
          <w:sz w:val="26"/>
          <w:szCs w:val="26"/>
          <w:rtl w:val="0"/>
        </w:rPr>
        <w:t>üşü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lmedi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 taktirde, puan hesab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ile kazan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lacak akademik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nvanlar, bilime katk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y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nden  de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il de idari y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ü </w:t>
      </w:r>
      <w:r>
        <w:rPr>
          <w:sz w:val="26"/>
          <w:szCs w:val="26"/>
          <w:rtl w:val="0"/>
        </w:rPr>
        <w:t>a</w:t>
      </w:r>
      <w:r>
        <w:rPr>
          <w:sz w:val="26"/>
          <w:szCs w:val="26"/>
          <w:rtl w:val="0"/>
        </w:rPr>
        <w:t>çı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ndan de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erlendirilmi</w:t>
      </w:r>
      <w:r>
        <w:rPr>
          <w:sz w:val="26"/>
          <w:szCs w:val="26"/>
          <w:rtl w:val="0"/>
        </w:rPr>
        <w:t xml:space="preserve">ş </w:t>
      </w:r>
      <w:r>
        <w:rPr>
          <w:sz w:val="26"/>
          <w:szCs w:val="26"/>
          <w:rtl w:val="0"/>
        </w:rPr>
        <w:t>olacakt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r. </w:t>
      </w:r>
    </w:p>
    <w:p>
      <w:pPr>
        <w:pStyle w:val="Gövde"/>
        <w:jc w:val="both"/>
        <w:rPr>
          <w:sz w:val="26"/>
          <w:szCs w:val="26"/>
        </w:rPr>
      </w:pPr>
    </w:p>
    <w:p>
      <w:pPr>
        <w:pStyle w:val="Gövde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Bir do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ent aday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farkl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alanlarda yay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yapmas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kimi zaman olumlu kimi zaman da olumsuz olarak de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erlendirildi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 g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lmektedir. Kanaatimce bu nokta tart</w:t>
      </w:r>
      <w:r>
        <w:rPr>
          <w:sz w:val="26"/>
          <w:szCs w:val="26"/>
          <w:rtl w:val="0"/>
        </w:rPr>
        <w:t>ış</w:t>
      </w:r>
      <w:r>
        <w:rPr>
          <w:sz w:val="26"/>
          <w:szCs w:val="26"/>
          <w:rtl w:val="0"/>
        </w:rPr>
        <w:t>maya a</w:t>
      </w:r>
      <w:r>
        <w:rPr>
          <w:sz w:val="26"/>
          <w:szCs w:val="26"/>
          <w:rtl w:val="0"/>
        </w:rPr>
        <w:t>çı</w:t>
      </w:r>
      <w:r>
        <w:rPr>
          <w:sz w:val="26"/>
          <w:szCs w:val="26"/>
          <w:rtl w:val="0"/>
        </w:rPr>
        <w:t>kt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r; ve b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y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k 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>çü</w:t>
      </w:r>
      <w:r>
        <w:rPr>
          <w:sz w:val="26"/>
          <w:szCs w:val="26"/>
          <w:rtl w:val="0"/>
        </w:rPr>
        <w:t>de aday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ki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 xml:space="preserve">isel 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zelliklerine ba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d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r. San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m as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l 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nemli olan, her aday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yaz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bir do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entlik tezi ortaya koyabilmesidir; di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 xml:space="preserve">er 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 xml:space="preserve">nemli olan nokta, </w:t>
      </w:r>
      <w:r>
        <w:rPr>
          <w:sz w:val="26"/>
          <w:szCs w:val="26"/>
          <w:rtl w:val="0"/>
        </w:rPr>
        <w:t>ulusal veya uluslararas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d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zeyde kabul g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rm</w:t>
      </w:r>
      <w:r>
        <w:rPr>
          <w:sz w:val="26"/>
          <w:szCs w:val="26"/>
          <w:rtl w:val="0"/>
        </w:rPr>
        <w:t xml:space="preserve">üş </w:t>
      </w:r>
      <w:r>
        <w:rPr>
          <w:sz w:val="26"/>
          <w:szCs w:val="26"/>
          <w:rtl w:val="0"/>
        </w:rPr>
        <w:t>bir dergide</w:t>
      </w:r>
      <w:r>
        <w:rPr>
          <w:sz w:val="26"/>
          <w:szCs w:val="26"/>
          <w:rtl w:val="0"/>
        </w:rPr>
        <w:t>, do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 xml:space="preserve">entlik tezindeki </w:t>
      </w:r>
      <w:r>
        <w:rPr>
          <w:sz w:val="26"/>
          <w:szCs w:val="26"/>
          <w:rtl w:val="0"/>
        </w:rPr>
        <w:t>‘öğ</w:t>
      </w:r>
      <w:r>
        <w:rPr>
          <w:sz w:val="26"/>
          <w:szCs w:val="26"/>
          <w:rtl w:val="0"/>
        </w:rPr>
        <w:t>reti</w:t>
      </w:r>
      <w:r>
        <w:rPr>
          <w:sz w:val="26"/>
          <w:szCs w:val="26"/>
          <w:rtl w:val="0"/>
        </w:rPr>
        <w:t>’</w:t>
      </w:r>
      <w:r>
        <w:rPr>
          <w:sz w:val="26"/>
          <w:szCs w:val="26"/>
          <w:rtl w:val="0"/>
        </w:rPr>
        <w:t>nin tart</w:t>
      </w:r>
      <w:r>
        <w:rPr>
          <w:sz w:val="26"/>
          <w:szCs w:val="26"/>
          <w:rtl w:val="0"/>
        </w:rPr>
        <w:t>ış</w:t>
      </w:r>
      <w:r>
        <w:rPr>
          <w:sz w:val="26"/>
          <w:szCs w:val="26"/>
          <w:rtl w:val="0"/>
        </w:rPr>
        <w:t>maya a</w:t>
      </w:r>
      <w:r>
        <w:rPr>
          <w:sz w:val="26"/>
          <w:szCs w:val="26"/>
          <w:rtl w:val="0"/>
        </w:rPr>
        <w:t>çı</w:t>
      </w:r>
      <w:r>
        <w:rPr>
          <w:sz w:val="26"/>
          <w:szCs w:val="26"/>
          <w:rtl w:val="0"/>
        </w:rPr>
        <w:t>lm</w:t>
      </w:r>
      <w:r>
        <w:rPr>
          <w:sz w:val="26"/>
          <w:szCs w:val="26"/>
          <w:rtl w:val="0"/>
        </w:rPr>
        <w:t xml:space="preserve">ış </w:t>
      </w:r>
      <w:r>
        <w:rPr>
          <w:sz w:val="26"/>
          <w:szCs w:val="26"/>
          <w:rtl w:val="0"/>
        </w:rPr>
        <w:t>olmas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d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r.</w:t>
      </w:r>
    </w:p>
    <w:p>
      <w:pPr>
        <w:pStyle w:val="Gövde"/>
        <w:jc w:val="both"/>
        <w:rPr>
          <w:sz w:val="26"/>
          <w:szCs w:val="26"/>
        </w:rPr>
      </w:pPr>
    </w:p>
    <w:p>
      <w:pPr>
        <w:pStyle w:val="Gövde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Gerek doktora gerek do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 xml:space="preserve">entlik 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al</w:t>
      </w:r>
      <w:r>
        <w:rPr>
          <w:sz w:val="26"/>
          <w:szCs w:val="26"/>
          <w:rtl w:val="0"/>
        </w:rPr>
        <w:t>ış</w:t>
      </w:r>
      <w:r>
        <w:rPr>
          <w:sz w:val="26"/>
          <w:szCs w:val="26"/>
          <w:rtl w:val="0"/>
        </w:rPr>
        <w:t>malar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nda 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rk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e kaynaklar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dikkate al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nmas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ve buradaki g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üş</w:t>
      </w:r>
      <w:r>
        <w:rPr>
          <w:sz w:val="26"/>
          <w:szCs w:val="26"/>
          <w:rtl w:val="0"/>
        </w:rPr>
        <w:t>lerin de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 xml:space="preserve">erlendirilmesinin son derece 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nemli oldu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una inan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yorum. Aksi taktirde ge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mi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e olan (hakl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) hayranl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k, bug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ü </w:t>
      </w:r>
      <w:r>
        <w:rPr>
          <w:sz w:val="26"/>
          <w:szCs w:val="26"/>
          <w:rtl w:val="0"/>
        </w:rPr>
        <w:t>g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zden ka</w:t>
      </w:r>
      <w:r>
        <w:rPr>
          <w:sz w:val="26"/>
          <w:szCs w:val="26"/>
          <w:rtl w:val="0"/>
        </w:rPr>
        <w:t>çı</w:t>
      </w:r>
      <w:r>
        <w:rPr>
          <w:sz w:val="26"/>
          <w:szCs w:val="26"/>
          <w:rtl w:val="0"/>
        </w:rPr>
        <w:t>rmamam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za sebep olacak, bizleri bo</w:t>
      </w:r>
      <w:r>
        <w:rPr>
          <w:sz w:val="26"/>
          <w:szCs w:val="26"/>
          <w:rtl w:val="0"/>
        </w:rPr>
        <w:t xml:space="preserve">ş </w:t>
      </w:r>
      <w:r>
        <w:rPr>
          <w:sz w:val="26"/>
          <w:szCs w:val="26"/>
          <w:rtl w:val="0"/>
        </w:rPr>
        <w:t>bir gurura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kleyebilecek, g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m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ze </w:t>
      </w:r>
      <w:r>
        <w:rPr>
          <w:sz w:val="26"/>
          <w:szCs w:val="26"/>
          <w:rtl w:val="0"/>
        </w:rPr>
        <w:t>ışı</w:t>
      </w:r>
      <w:r>
        <w:rPr>
          <w:sz w:val="26"/>
          <w:szCs w:val="26"/>
          <w:rtl w:val="0"/>
        </w:rPr>
        <w:t xml:space="preserve">k tutabilecek 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al</w:t>
      </w:r>
      <w:r>
        <w:rPr>
          <w:sz w:val="26"/>
          <w:szCs w:val="26"/>
          <w:rtl w:val="0"/>
        </w:rPr>
        <w:t>ış</w:t>
      </w:r>
      <w:r>
        <w:rPr>
          <w:sz w:val="26"/>
          <w:szCs w:val="26"/>
          <w:rtl w:val="0"/>
        </w:rPr>
        <w:t>malar</w:t>
      </w:r>
      <w:r>
        <w:rPr>
          <w:sz w:val="26"/>
          <w:szCs w:val="26"/>
          <w:rtl w:val="0"/>
        </w:rPr>
        <w:t>ı ö</w:t>
      </w:r>
      <w:r>
        <w:rPr>
          <w:sz w:val="26"/>
          <w:szCs w:val="26"/>
          <w:rtl w:val="0"/>
        </w:rPr>
        <w:t xml:space="preserve">zendirmeyecek, bilimin 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ng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rd</w:t>
      </w:r>
      <w:r>
        <w:rPr>
          <w:sz w:val="26"/>
          <w:szCs w:val="26"/>
          <w:rtl w:val="0"/>
        </w:rPr>
        <w:t xml:space="preserve">üğü </w:t>
      </w:r>
      <w:r>
        <w:rPr>
          <w:sz w:val="26"/>
          <w:szCs w:val="26"/>
          <w:rtl w:val="0"/>
        </w:rPr>
        <w:t>devaml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 ger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ekle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 xml:space="preserve">meyecek ve en 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nemlisi de gen</w:t>
      </w:r>
      <w:r>
        <w:rPr>
          <w:sz w:val="26"/>
          <w:szCs w:val="26"/>
          <w:rtl w:val="0"/>
        </w:rPr>
        <w:t xml:space="preserve">ç </w:t>
      </w:r>
      <w:r>
        <w:rPr>
          <w:sz w:val="26"/>
          <w:szCs w:val="26"/>
          <w:rtl w:val="0"/>
        </w:rPr>
        <w:t>ku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aklar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kendilerine g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ven duymalar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ı  ö</w:t>
      </w:r>
      <w:r>
        <w:rPr>
          <w:sz w:val="26"/>
          <w:szCs w:val="26"/>
          <w:rtl w:val="0"/>
        </w:rPr>
        <w:t xml:space="preserve">nleyebilecektir. </w:t>
      </w:r>
    </w:p>
    <w:p>
      <w:pPr>
        <w:pStyle w:val="Gövde"/>
        <w:jc w:val="both"/>
        <w:rPr>
          <w:sz w:val="26"/>
          <w:szCs w:val="26"/>
        </w:rPr>
      </w:pPr>
    </w:p>
    <w:p>
      <w:pPr>
        <w:pStyle w:val="Gövde"/>
        <w:jc w:val="both"/>
        <w:rPr>
          <w:sz w:val="26"/>
          <w:szCs w:val="26"/>
        </w:rPr>
      </w:pPr>
    </w:p>
    <w:p>
      <w:pPr>
        <w:pStyle w:val="Gövde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Prof. Dr. 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afak Ural</w:t>
      </w:r>
    </w:p>
    <w:p>
      <w:pPr>
        <w:pStyle w:val="Gövde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İ</w:t>
      </w:r>
      <w:r>
        <w:rPr>
          <w:sz w:val="26"/>
          <w:szCs w:val="26"/>
          <w:rtl w:val="0"/>
        </w:rPr>
        <w:t xml:space="preserve">stinye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niversitesi</w:t>
      </w:r>
    </w:p>
    <w:p>
      <w:pPr>
        <w:pStyle w:val="Gövde"/>
        <w:jc w:val="both"/>
      </w:pPr>
      <w:r>
        <w:rPr>
          <w:sz w:val="26"/>
          <w:szCs w:val="26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Dipnot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</w:rPr>
        <w:t>Bu metin, Akademik Etik Derne</w:t>
      </w:r>
      <w:r>
        <w:rPr>
          <w:rFonts w:cs="Arial Unicode MS" w:eastAsia="Arial Unicode MS" w:hint="default"/>
          <w:rtl w:val="0"/>
        </w:rPr>
        <w:t>ğ</w:t>
      </w:r>
      <w:r>
        <w:rPr>
          <w:rFonts w:cs="Arial Unicode MS" w:eastAsia="Arial Unicode MS"/>
          <w:rtl w:val="0"/>
        </w:rPr>
        <w:t>i taraf</w:t>
      </w:r>
      <w:r>
        <w:rPr>
          <w:rFonts w:cs="Arial Unicode MS" w:eastAsia="Arial Unicode MS" w:hint="default"/>
          <w:rtl w:val="0"/>
        </w:rPr>
        <w:t>ı</w:t>
      </w:r>
      <w:r>
        <w:rPr>
          <w:rFonts w:cs="Arial Unicode MS" w:eastAsia="Arial Unicode MS"/>
          <w:rtl w:val="0"/>
        </w:rPr>
        <w:t>ndan 22 Nisan 2021 tarihinde zoom toplant</w:t>
      </w:r>
      <w:r>
        <w:rPr>
          <w:rFonts w:cs="Arial Unicode MS" w:eastAsia="Arial Unicode MS" w:hint="default"/>
          <w:rtl w:val="0"/>
        </w:rPr>
        <w:t>ı</w:t>
      </w: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 w:hint="default"/>
          <w:rtl w:val="0"/>
        </w:rPr>
        <w:t xml:space="preserve">ı </w:t>
      </w:r>
      <w:r>
        <w:rPr>
          <w:rFonts w:cs="Arial Unicode MS" w:eastAsia="Arial Unicode MS"/>
          <w:rtl w:val="0"/>
        </w:rPr>
        <w:t xml:space="preserve">olarak </w:t>
      </w:r>
      <w:r>
        <w:rPr>
          <w:rFonts w:cs="Arial Unicode MS" w:eastAsia="Arial Unicode MS" w:hint="default"/>
          <w:rtl w:val="0"/>
        </w:rPr>
        <w:t>“</w:t>
      </w:r>
      <w:r>
        <w:rPr>
          <w:rFonts w:cs="Arial Unicode MS" w:eastAsia="Arial Unicode MS"/>
          <w:rtl w:val="0"/>
        </w:rPr>
        <w:t>Do</w:t>
      </w:r>
      <w:r>
        <w:rPr>
          <w:rFonts w:cs="Arial Unicode MS" w:eastAsia="Arial Unicode MS" w:hint="default"/>
          <w:rtl w:val="0"/>
        </w:rPr>
        <w:t>ç</w:t>
      </w:r>
      <w:r>
        <w:rPr>
          <w:rFonts w:cs="Arial Unicode MS" w:eastAsia="Arial Unicode MS"/>
          <w:rtl w:val="0"/>
        </w:rPr>
        <w:t>entlik Dosyas</w:t>
      </w:r>
      <w:r>
        <w:rPr>
          <w:rFonts w:cs="Arial Unicode MS" w:eastAsia="Arial Unicode MS" w:hint="default"/>
          <w:rtl w:val="0"/>
        </w:rPr>
        <w:t xml:space="preserve">ı </w:t>
      </w:r>
      <w:r>
        <w:rPr>
          <w:rFonts w:cs="Arial Unicode MS" w:eastAsia="Arial Unicode MS"/>
          <w:rtl w:val="0"/>
        </w:rPr>
        <w:t>De</w:t>
      </w:r>
      <w:r>
        <w:rPr>
          <w:rFonts w:cs="Arial Unicode MS" w:eastAsia="Arial Unicode MS" w:hint="default"/>
          <w:rtl w:val="0"/>
        </w:rPr>
        <w:t>ğ</w:t>
      </w:r>
      <w:r>
        <w:rPr>
          <w:rFonts w:cs="Arial Unicode MS" w:eastAsia="Arial Unicode MS"/>
          <w:rtl w:val="0"/>
        </w:rPr>
        <w:t>erlendirme</w:t>
      </w:r>
      <w:r>
        <w:rPr>
          <w:rFonts w:cs="Arial Unicode MS" w:eastAsia="Arial Unicode MS" w:hint="default"/>
          <w:rtl w:val="0"/>
        </w:rPr>
        <w:t xml:space="preserve">” </w:t>
      </w:r>
      <w:r>
        <w:rPr>
          <w:rFonts w:cs="Arial Unicode MS" w:eastAsia="Arial Unicode MS"/>
          <w:rtl w:val="0"/>
        </w:rPr>
        <w:t>ba</w:t>
      </w:r>
      <w:r>
        <w:rPr>
          <w:rFonts w:cs="Arial Unicode MS" w:eastAsia="Arial Unicode MS" w:hint="default"/>
          <w:rtl w:val="0"/>
        </w:rPr>
        <w:t>şı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0"/>
        </w:rPr>
        <w:t xml:space="preserve">ığı </w:t>
      </w:r>
      <w:r>
        <w:rPr>
          <w:rFonts w:cs="Arial Unicode MS" w:eastAsia="Arial Unicode MS"/>
          <w:rtl w:val="0"/>
        </w:rPr>
        <w:t>alt</w:t>
      </w:r>
      <w:r>
        <w:rPr>
          <w:rFonts w:cs="Arial Unicode MS" w:eastAsia="Arial Unicode MS" w:hint="default"/>
          <w:rtl w:val="0"/>
        </w:rPr>
        <w:t>ı</w:t>
      </w:r>
      <w:r>
        <w:rPr>
          <w:rFonts w:cs="Arial Unicode MS" w:eastAsia="Arial Unicode MS"/>
          <w:rtl w:val="0"/>
        </w:rPr>
        <w:t>nda d</w:t>
      </w:r>
      <w:r>
        <w:rPr>
          <w:rFonts w:cs="Arial Unicode MS" w:eastAsia="Arial Unicode MS" w:hint="default"/>
          <w:rtl w:val="0"/>
        </w:rPr>
        <w:t>ü</w:t>
      </w:r>
      <w:r>
        <w:rPr>
          <w:rFonts w:cs="Arial Unicode MS" w:eastAsia="Arial Unicode MS"/>
          <w:rtl w:val="0"/>
        </w:rPr>
        <w:t>zenlenen panelde yap</w:t>
      </w:r>
      <w:r>
        <w:rPr>
          <w:rFonts w:cs="Arial Unicode MS" w:eastAsia="Arial Unicode MS" w:hint="default"/>
          <w:rtl w:val="0"/>
        </w:rPr>
        <w:t>ı</w:t>
      </w:r>
      <w:r>
        <w:rPr>
          <w:rFonts w:cs="Arial Unicode MS" w:eastAsia="Arial Unicode MS"/>
          <w:rtl w:val="0"/>
        </w:rPr>
        <w:t>lan konu</w:t>
      </w:r>
      <w:r>
        <w:rPr>
          <w:rFonts w:cs="Arial Unicode MS" w:eastAsia="Arial Unicode MS" w:hint="default"/>
          <w:rtl w:val="0"/>
        </w:rPr>
        <w:t>ş</w:t>
      </w:r>
      <w:r>
        <w:rPr>
          <w:rFonts w:cs="Arial Unicode MS" w:eastAsia="Arial Unicode MS"/>
          <w:rtl w:val="0"/>
        </w:rPr>
        <w:t>maya dayan</w:t>
      </w:r>
      <w:r>
        <w:rPr>
          <w:rFonts w:cs="Arial Unicode MS" w:eastAsia="Arial Unicode MS" w:hint="default"/>
          <w:rtl w:val="0"/>
        </w:rPr>
        <w:t>ı</w:t>
      </w:r>
      <w:r>
        <w:rPr>
          <w:rFonts w:cs="Arial Unicode MS" w:eastAsia="Arial Unicode MS"/>
          <w:rtl w:val="0"/>
        </w:rPr>
        <w:t>larak haz</w:t>
      </w:r>
      <w:r>
        <w:rPr>
          <w:rFonts w:cs="Arial Unicode MS" w:eastAsia="Arial Unicode MS" w:hint="default"/>
          <w:rtl w:val="0"/>
        </w:rPr>
        <w:t>ı</w:t>
      </w:r>
      <w:r>
        <w:rPr>
          <w:rFonts w:cs="Arial Unicode MS" w:eastAsia="Arial Unicode MS"/>
          <w:rtl w:val="0"/>
        </w:rPr>
        <w:t>rlanm</w:t>
      </w:r>
      <w:r>
        <w:rPr>
          <w:rFonts w:cs="Arial Unicode MS" w:eastAsia="Arial Unicode MS" w:hint="default"/>
          <w:rtl w:val="0"/>
        </w:rPr>
        <w:t>ış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</w:rPr>
        <w:t>ı</w:t>
      </w:r>
      <w:r>
        <w:rPr>
          <w:rFonts w:cs="Arial Unicode MS" w:eastAsia="Arial Unicode MS"/>
          <w:rtl w:val="0"/>
        </w:rPr>
        <w:t>r.</w:t>
      </w:r>
    </w:p>
  </w:footnote>
  <w:footnote w:id="2">
    <w:p>
      <w:pPr>
        <w:pStyle w:val="Dipnot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</w:rPr>
        <w:t>Bu konudaki hat</w:t>
      </w:r>
      <w:r>
        <w:rPr>
          <w:rFonts w:cs="Arial Unicode MS" w:eastAsia="Arial Unicode MS" w:hint="default"/>
          <w:rtl w:val="0"/>
        </w:rPr>
        <w:t>ı</w:t>
      </w:r>
      <w:r>
        <w:rPr>
          <w:rFonts w:cs="Arial Unicode MS" w:eastAsia="Arial Unicode MS"/>
          <w:rtl w:val="0"/>
        </w:rPr>
        <w:t>rlatmalar</w:t>
      </w:r>
      <w:r>
        <w:rPr>
          <w:rFonts w:cs="Arial Unicode MS" w:eastAsia="Arial Unicode MS" w:hint="default"/>
          <w:rtl w:val="0"/>
        </w:rPr>
        <w:t xml:space="preserve">ı </w:t>
      </w:r>
      <w:r>
        <w:rPr>
          <w:rFonts w:cs="Arial Unicode MS" w:eastAsia="Arial Unicode MS"/>
          <w:rtl w:val="0"/>
        </w:rPr>
        <w:t>i</w:t>
      </w:r>
      <w:r>
        <w:rPr>
          <w:rFonts w:cs="Arial Unicode MS" w:eastAsia="Arial Unicode MS" w:hint="default"/>
          <w:rtl w:val="0"/>
        </w:rPr>
        <w:t>ç</w:t>
      </w:r>
      <w:r>
        <w:rPr>
          <w:rFonts w:cs="Arial Unicode MS" w:eastAsia="Arial Unicode MS"/>
          <w:rtl w:val="0"/>
        </w:rPr>
        <w:t>in de</w:t>
      </w:r>
      <w:r>
        <w:rPr>
          <w:rFonts w:cs="Arial Unicode MS" w:eastAsia="Arial Unicode MS" w:hint="default"/>
          <w:rtl w:val="0"/>
        </w:rPr>
        <w:t>ğ</w:t>
      </w:r>
      <w:r>
        <w:rPr>
          <w:rFonts w:cs="Arial Unicode MS" w:eastAsia="Arial Unicode MS"/>
          <w:rtl w:val="0"/>
        </w:rPr>
        <w:t>erli meslekta</w:t>
      </w:r>
      <w:r>
        <w:rPr>
          <w:rFonts w:cs="Arial Unicode MS" w:eastAsia="Arial Unicode MS" w:hint="default"/>
          <w:rtl w:val="0"/>
        </w:rPr>
        <w:t>ş</w:t>
      </w:r>
      <w:r>
        <w:rPr>
          <w:rFonts w:cs="Arial Unicode MS" w:eastAsia="Arial Unicode MS"/>
          <w:rtl w:val="0"/>
        </w:rPr>
        <w:t>lar</w:t>
      </w:r>
      <w:r>
        <w:rPr>
          <w:rFonts w:cs="Arial Unicode MS" w:eastAsia="Arial Unicode MS" w:hint="default"/>
          <w:rtl w:val="0"/>
        </w:rPr>
        <w:t>ı</w:t>
      </w:r>
      <w:r>
        <w:rPr>
          <w:rFonts w:cs="Arial Unicode MS" w:eastAsia="Arial Unicode MS"/>
          <w:rtl w:val="0"/>
        </w:rPr>
        <w:t xml:space="preserve">m Prof. Dr. Erendiz </w:t>
      </w:r>
      <w:r>
        <w:rPr>
          <w:rFonts w:cs="Arial Unicode MS" w:eastAsia="Arial Unicode MS" w:hint="default"/>
          <w:rtl w:val="0"/>
        </w:rPr>
        <w:t>Ö</w:t>
      </w:r>
      <w:r>
        <w:rPr>
          <w:rFonts w:cs="Arial Unicode MS" w:eastAsia="Arial Unicode MS"/>
          <w:rtl w:val="0"/>
        </w:rPr>
        <w:t>zbayo</w:t>
      </w:r>
      <w:r>
        <w:rPr>
          <w:rFonts w:cs="Arial Unicode MS" w:eastAsia="Arial Unicode MS" w:hint="default"/>
          <w:rtl w:val="0"/>
        </w:rPr>
        <w:t>ğ</w:t>
      </w:r>
      <w:r>
        <w:rPr>
          <w:rFonts w:cs="Arial Unicode MS" w:eastAsia="Arial Unicode MS"/>
          <w:rtl w:val="0"/>
        </w:rPr>
        <w:t>lu ve Prof. Dr. Nezih Hekim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</w:rPr>
        <w:t>e te</w:t>
      </w:r>
      <w:r>
        <w:rPr>
          <w:rFonts w:cs="Arial Unicode MS" w:eastAsia="Arial Unicode MS" w:hint="default"/>
          <w:rtl w:val="0"/>
        </w:rPr>
        <w:t>ş</w:t>
      </w:r>
      <w:r>
        <w:rPr>
          <w:rFonts w:cs="Arial Unicode MS" w:eastAsia="Arial Unicode MS"/>
          <w:rtl w:val="0"/>
        </w:rPr>
        <w:t>ekk</w:t>
      </w:r>
      <w:r>
        <w:rPr>
          <w:rFonts w:cs="Arial Unicode MS" w:eastAsia="Arial Unicode MS" w:hint="default"/>
          <w:rtl w:val="0"/>
        </w:rPr>
        <w:t>ü</w:t>
      </w:r>
      <w:r>
        <w:rPr>
          <w:rFonts w:cs="Arial Unicode MS" w:eastAsia="Arial Unicode MS"/>
          <w:rtl w:val="0"/>
        </w:rPr>
        <w:t xml:space="preserve">r ediyorum. 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ipnot">
    <w:name w:val="Dipnot"/>
    <w:next w:val="Dipno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