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                                  </w:t>
      </w:r>
    </w:p>
    <w:p>
      <w:pPr>
        <w:pStyle w:val="Gövde A"/>
        <w:rPr>
          <w:sz w:val="26"/>
          <w:szCs w:val="26"/>
        </w:rPr>
      </w:pPr>
    </w:p>
    <w:p>
      <w:pPr>
        <w:pStyle w:val="Gövde A"/>
        <w:rPr>
          <w:sz w:val="36"/>
          <w:szCs w:val="36"/>
        </w:rPr>
      </w:pPr>
      <w:r>
        <w:rPr>
          <w:sz w:val="26"/>
          <w:szCs w:val="26"/>
          <w:rtl w:val="0"/>
        </w:rPr>
        <w:t xml:space="preserve">                                 </w:t>
      </w:r>
      <w:r>
        <w:rPr>
          <w:sz w:val="36"/>
          <w:szCs w:val="36"/>
          <w:rtl w:val="0"/>
          <w:lang w:val="en-US"/>
        </w:rPr>
        <w:t>Mant</w:t>
      </w:r>
      <w:r>
        <w:rPr>
          <w:sz w:val="36"/>
          <w:szCs w:val="36"/>
          <w:rtl w:val="0"/>
          <w:lang w:val="en-US"/>
        </w:rPr>
        <w:t>ı</w:t>
      </w:r>
      <w:r>
        <w:rPr>
          <w:sz w:val="36"/>
          <w:szCs w:val="36"/>
          <w:rtl w:val="0"/>
        </w:rPr>
        <w:t>ğı</w:t>
      </w:r>
      <w:r>
        <w:rPr>
          <w:sz w:val="36"/>
          <w:szCs w:val="36"/>
          <w:rtl w:val="0"/>
        </w:rPr>
        <w:t>n Mant</w:t>
      </w:r>
      <w:r>
        <w:rPr>
          <w:sz w:val="36"/>
          <w:szCs w:val="36"/>
          <w:rtl w:val="0"/>
        </w:rPr>
        <w:t>ı</w:t>
      </w:r>
      <w:r>
        <w:rPr>
          <w:sz w:val="36"/>
          <w:szCs w:val="36"/>
          <w:rtl w:val="0"/>
        </w:rPr>
        <w:t>k-d</w:t>
      </w:r>
      <w:r>
        <w:rPr>
          <w:sz w:val="36"/>
          <w:szCs w:val="36"/>
          <w:rtl w:val="0"/>
        </w:rPr>
        <w:t xml:space="preserve">ışı </w:t>
      </w:r>
      <w:r>
        <w:rPr>
          <w:sz w:val="36"/>
          <w:szCs w:val="36"/>
          <w:rtl w:val="0"/>
        </w:rPr>
        <w:t>Evrimi</w:t>
      </w:r>
    </w:p>
    <w:p>
      <w:pPr>
        <w:pStyle w:val="Gövde A"/>
        <w:rPr>
          <w:sz w:val="26"/>
          <w:szCs w:val="26"/>
        </w:rPr>
      </w:pPr>
      <w:r>
        <w:rPr>
          <w:sz w:val="36"/>
          <w:szCs w:val="36"/>
          <w:rtl w:val="0"/>
          <w:lang w:val="en-US"/>
        </w:rPr>
        <w:t xml:space="preserve">                                       </w:t>
      </w:r>
      <w:r>
        <w:rPr>
          <w:sz w:val="28"/>
          <w:szCs w:val="28"/>
          <w:rtl w:val="0"/>
          <w:lang w:val="en-US"/>
        </w:rPr>
        <w:t>Ş</w:t>
      </w:r>
      <w:r>
        <w:rPr>
          <w:sz w:val="28"/>
          <w:szCs w:val="28"/>
          <w:rtl w:val="0"/>
          <w:lang w:val="en-US"/>
        </w:rPr>
        <w:t>afak Ural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sz w:val="36"/>
          <w:szCs w:val="36"/>
          <w:vertAlign w:val="superscript"/>
        </w:rPr>
        <w:footnoteReference w:id="1"/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 ya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amda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bir kabuller 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mesine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aret etmek amac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</w:t>
      </w:r>
      <w:r>
        <w:rPr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 rastlar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z.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Benim 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ma uymuyor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toplum 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na ayk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ı” ş</w:t>
      </w:r>
      <w:r>
        <w:rPr>
          <w:sz w:val="26"/>
          <w:szCs w:val="26"/>
          <w:rtl w:val="0"/>
        </w:rPr>
        <w:t xml:space="preserve">eklindeki ifadeler bunun tipik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rnekleridir. Ne var ki bu kavram, yakla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k 2.500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ge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iyle bir bilimin de 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 bir bilim olmas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kurallar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iye ve topluma ba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olmamas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pk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matematik gibi genel ge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erli kurallar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olmas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demektir.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da bir 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tmenin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undan emin olabilmek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kurallar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bilmek ka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lmazd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 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Ne var ki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yle bir durumda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o halde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(yani 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m) kurallar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bilmeyen bir kimse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nemez mi?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 xml:space="preserve">gibi bir soru akla gelebilir. 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 bir sorunun cevab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-ancak belirli durumlarda- olumlu olabilir: nitekim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 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radan olaylarda,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k/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 hatas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yapmak hi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de kolay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ildir. Basit bir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rnekle,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 xml:space="preserve">kalemi ya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antamda ya da okulda unuttum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denildi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inde, kalemin iki yerde birden olamayaca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anta yak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ndaysa ilk onun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ine bakmay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(hi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bir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kural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bilinmese de) herkes 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edebilir. Buna 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uzun ve karma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k bir 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tme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recinde,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kurallar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dikkatte 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a, sonucun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undan emin olmak hi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de 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olmayacakt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Bir davran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n, uzun bir yaz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yorumlanmas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nda, hukuki bir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da,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itli sosyal, ekonomik, tarihi  olaylar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birbirleriyle (tutarl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olarak) ili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kilendirilmesinde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kurallar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bilinmesi ka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lmazd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bunlara, bilgisayarlar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in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mant</w:t>
      </w:r>
      <w:r>
        <w:rPr>
          <w:sz w:val="26"/>
          <w:szCs w:val="26"/>
          <w:rtl w:val="0"/>
        </w:rPr>
        <w:t>ığ</w:t>
      </w:r>
      <w:r>
        <w:rPr>
          <w:sz w:val="26"/>
          <w:szCs w:val="26"/>
          <w:rtl w:val="0"/>
        </w:rPr>
        <w:t>a duyulan ihtiyac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ilave etmek yerinde olacakt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 kurucusunun Aristoteles (M</w:t>
      </w:r>
      <w:r>
        <w:rPr>
          <w:sz w:val="26"/>
          <w:szCs w:val="26"/>
          <w:rtl w:val="0"/>
        </w:rPr>
        <w:t xml:space="preserve">Ö </w:t>
      </w:r>
      <w:r>
        <w:rPr>
          <w:sz w:val="26"/>
          <w:szCs w:val="26"/>
          <w:rtl w:val="0"/>
        </w:rPr>
        <w:t>384-322)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 kabul edilir. Bu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malar</w:t>
      </w:r>
      <w:r>
        <w:rPr>
          <w:sz w:val="26"/>
          <w:szCs w:val="26"/>
          <w:rtl w:val="0"/>
        </w:rPr>
        <w:t>ı “</w:t>
      </w:r>
      <w:r>
        <w:rPr>
          <w:sz w:val="26"/>
          <w:szCs w:val="26"/>
          <w:rtl w:val="0"/>
        </w:rPr>
        <w:t>Organon/Alet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r: yani -do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ru-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ncenin aleti. Bu kavram daha sonralar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yerini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Logic/Mant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a b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rakm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Bu yeni kavram, dil ve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ncenin birlikteli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ifade etmektedir. Ama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,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nceyi dil arac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yla kavramak,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 xml:space="preserve">nceyi dil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zerinden in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 etmektir. Bu in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 eylemi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yapay (formel) bir dile gerek vard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Yapay bir dil,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ru bir 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matematik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lemlere benzer bir 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ntemle ifade edebilmek ve denetlemek olana</w:t>
      </w:r>
      <w:r>
        <w:rPr>
          <w:sz w:val="26"/>
          <w:szCs w:val="26"/>
          <w:rtl w:val="0"/>
        </w:rPr>
        <w:t xml:space="preserve">ğı </w:t>
      </w:r>
      <w:r>
        <w:rPr>
          <w:sz w:val="26"/>
          <w:szCs w:val="26"/>
          <w:rtl w:val="0"/>
        </w:rPr>
        <w:t>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lamaktad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tmeyi/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ifade etmeye ve denetlemeye olanak veren bir </w:t>
      </w:r>
      <w:r>
        <w:rPr>
          <w:sz w:val="26"/>
          <w:szCs w:val="26"/>
          <w:rtl w:val="0"/>
        </w:rPr>
        <w:t>‘</w:t>
      </w:r>
      <w:r>
        <w:rPr>
          <w:sz w:val="26"/>
          <w:szCs w:val="26"/>
          <w:rtl w:val="0"/>
        </w:rPr>
        <w:t>alet</w:t>
      </w:r>
      <w:r>
        <w:rPr>
          <w:sz w:val="26"/>
          <w:szCs w:val="26"/>
          <w:rtl w:val="0"/>
        </w:rPr>
        <w:t xml:space="preserve">’ </w:t>
      </w:r>
      <w:r>
        <w:rPr>
          <w:sz w:val="26"/>
          <w:szCs w:val="26"/>
          <w:rtl w:val="0"/>
        </w:rPr>
        <w:t>olmas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rlerde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nemsenmesinin de temel gerek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esini olu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turmu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tur. 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ifade etmek amac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yla ya </w:t>
      </w:r>
      <w:r>
        <w:rPr>
          <w:sz w:val="26"/>
          <w:szCs w:val="26"/>
          <w:rtl w:val="0"/>
          <w:lang w:val="en-US"/>
        </w:rPr>
        <w:t>(ta</w:t>
      </w:r>
      <w:r>
        <w:rPr>
          <w:sz w:val="26"/>
          <w:szCs w:val="26"/>
          <w:rtl w:val="0"/>
          <w:lang w:val="en-US"/>
        </w:rPr>
        <w:t xml:space="preserve">ş </w:t>
      </w:r>
      <w:r>
        <w:rPr>
          <w:sz w:val="26"/>
          <w:szCs w:val="26"/>
          <w:rtl w:val="0"/>
          <w:lang w:val="en-US"/>
        </w:rPr>
        <w:t xml:space="preserve">devri, </w:t>
      </w:r>
      <w:r>
        <w:rPr>
          <w:sz w:val="26"/>
          <w:szCs w:val="26"/>
          <w:rtl w:val="0"/>
        </w:rPr>
        <w:t>tun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 xml:space="preserve">devri, </w:t>
      </w:r>
      <w:r>
        <w:rPr>
          <w:sz w:val="26"/>
          <w:szCs w:val="26"/>
          <w:rtl w:val="0"/>
          <w:lang w:val="en-US"/>
        </w:rPr>
        <w:t xml:space="preserve">yapay zeka 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>ğı</w:t>
      </w:r>
      <w:r>
        <w:rPr>
          <w:sz w:val="26"/>
          <w:szCs w:val="26"/>
          <w:rtl w:val="0"/>
        </w:rPr>
        <w:t xml:space="preserve"> gibi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</w:rPr>
        <w:t xml:space="preserve">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imi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layan alet isimleri ya da o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 xml:space="preserve">ğı </w:t>
      </w:r>
      <w:r>
        <w:rPr>
          <w:sz w:val="26"/>
          <w:szCs w:val="26"/>
          <w:rtl w:val="0"/>
        </w:rPr>
        <w:t xml:space="preserve">karakterize eden kavramlar </w:t>
      </w:r>
      <w:r>
        <w:rPr>
          <w:sz w:val="26"/>
          <w:szCs w:val="26"/>
          <w:rtl w:val="0"/>
          <w:lang w:val="en-US"/>
        </w:rPr>
        <w:t>(Antik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>, Orta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 xml:space="preserve">, Modern 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</w:rPr>
        <w:t xml:space="preserve"> gibi</w:t>
      </w:r>
      <w:r>
        <w:rPr>
          <w:sz w:val="26"/>
          <w:szCs w:val="26"/>
          <w:rtl w:val="0"/>
          <w:lang w:val="en-US"/>
        </w:rPr>
        <w:t xml:space="preserve">) </w:t>
      </w:r>
      <w:r>
        <w:rPr>
          <w:sz w:val="26"/>
          <w:szCs w:val="26"/>
          <w:rtl w:val="0"/>
        </w:rPr>
        <w:t>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n-US"/>
        </w:rPr>
        <w:t xml:space="preserve">. 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zde ise, </w:t>
      </w:r>
      <w:r>
        <w:rPr>
          <w:sz w:val="26"/>
          <w:szCs w:val="26"/>
          <w:rtl w:val="0"/>
          <w:lang w:val="en-US"/>
        </w:rPr>
        <w:t>toplumsal ve bireysel tav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r al</w:t>
      </w:r>
      <w:r>
        <w:rPr>
          <w:sz w:val="26"/>
          <w:szCs w:val="26"/>
          <w:rtl w:val="0"/>
          <w:lang w:val="en-US"/>
        </w:rPr>
        <w:t>ışı</w:t>
      </w:r>
      <w:r>
        <w:rPr>
          <w:sz w:val="26"/>
          <w:szCs w:val="26"/>
          <w:rtl w:val="0"/>
        </w:rPr>
        <w:t xml:space="preserve"> ifade eden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post modern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  <w:lang w:val="en-US"/>
        </w:rPr>
        <w:t>kullan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yor</w:t>
      </w:r>
      <w:commentRangeStart w:id="0"/>
      <w:r>
        <w:rPr>
          <w:sz w:val="26"/>
          <w:szCs w:val="26"/>
          <w:rtl w:val="0"/>
          <w:lang w:val="en-US"/>
        </w:rPr>
        <w:t>.</w:t>
      </w:r>
      <w:commentRangeEnd w:id="0"/>
      <w:r>
        <w:commentReference w:id="0"/>
      </w:r>
      <w:r>
        <w:rPr>
          <w:sz w:val="26"/>
          <w:szCs w:val="26"/>
          <w:rtl w:val="0"/>
        </w:rPr>
        <w:t xml:space="preserve"> Bu kavram,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yor ki,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konusunda yeni ve kendine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zg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bir anlay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a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aret etmektedir. Bu bir bak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ma, 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k-d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 xml:space="preserve">evrimi olarak da nitelenebilir. 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nk</w:t>
      </w:r>
      <w:r>
        <w:rPr>
          <w:sz w:val="26"/>
          <w:szCs w:val="26"/>
          <w:rtl w:val="0"/>
        </w:rPr>
        <w:t>ü “</w:t>
      </w:r>
      <w:r>
        <w:rPr>
          <w:sz w:val="26"/>
          <w:szCs w:val="26"/>
          <w:rtl w:val="0"/>
        </w:rPr>
        <w:t>post modern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nun bir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i,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biliminin dayand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len geleneksel temel ilkeleri bir kenara b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rakm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olmas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Do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>ru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kavram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tarihsel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rekli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, zenginle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 xml:space="preserve">ve zaman zaman da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hakikat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tir.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zdeki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post modern do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>ru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nceki yorumlarla 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yasland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nda, adeta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k-d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 xml:space="preserve">bir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zellik ta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maktad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n-US"/>
        </w:rPr>
        <w:t xml:space="preserve">; </w:t>
      </w:r>
      <w:r>
        <w:rPr>
          <w:sz w:val="26"/>
          <w:szCs w:val="26"/>
          <w:rtl w:val="0"/>
          <w:lang w:val="en-US"/>
        </w:rPr>
        <w:t>çü</w:t>
      </w:r>
      <w:r>
        <w:rPr>
          <w:sz w:val="26"/>
          <w:szCs w:val="26"/>
          <w:rtl w:val="0"/>
          <w:lang w:val="en-US"/>
        </w:rPr>
        <w:t>nk</w:t>
      </w:r>
      <w:r>
        <w:rPr>
          <w:sz w:val="26"/>
          <w:szCs w:val="26"/>
          <w:rtl w:val="0"/>
          <w:lang w:val="en-US"/>
        </w:rPr>
        <w:t xml:space="preserve">ü </w:t>
      </w:r>
      <w:r>
        <w:rPr>
          <w:sz w:val="26"/>
          <w:szCs w:val="26"/>
          <w:rtl w:val="0"/>
        </w:rPr>
        <w:t>herkes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do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de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 xml:space="preserve">il,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en-US"/>
        </w:rPr>
        <w:t xml:space="preserve"> ki</w:t>
      </w:r>
      <w:r>
        <w:rPr>
          <w:sz w:val="26"/>
          <w:szCs w:val="26"/>
          <w:rtl w:val="0"/>
          <w:lang w:val="en-US"/>
        </w:rPr>
        <w:t>ş</w:t>
      </w:r>
      <w:r>
        <w:rPr>
          <w:sz w:val="26"/>
          <w:szCs w:val="26"/>
          <w:rtl w:val="0"/>
          <w:lang w:val="en-US"/>
        </w:rPr>
        <w:t>isel tercihlere ve toplumsal se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imlere g</w:t>
      </w:r>
      <w:r>
        <w:rPr>
          <w:sz w:val="26"/>
          <w:szCs w:val="26"/>
          <w:rtl w:val="0"/>
          <w:lang w:val="en-US"/>
        </w:rPr>
        <w:t>ö</w:t>
      </w:r>
      <w:r>
        <w:rPr>
          <w:sz w:val="26"/>
          <w:szCs w:val="26"/>
          <w:rtl w:val="0"/>
          <w:lang w:val="en-US"/>
        </w:rPr>
        <w:t>re</w:t>
      </w:r>
      <w:r>
        <w:rPr>
          <w:sz w:val="26"/>
          <w:szCs w:val="26"/>
          <w:rtl w:val="0"/>
        </w:rPr>
        <w:t xml:space="preserve">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lan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yorumlar 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zda durmaktad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</w:rPr>
        <w:t xml:space="preserve"> 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indeki k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im, sadece bir zihniyetin ve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il,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anlay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kendisinin de yeniden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mlanmas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talep etmektedir.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 bir talebin gerek birey gerek toplum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k bir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nemi vard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r; 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nk</w:t>
      </w:r>
      <w:r>
        <w:rPr>
          <w:sz w:val="26"/>
          <w:szCs w:val="26"/>
          <w:rtl w:val="0"/>
        </w:rPr>
        <w:t>ü “</w:t>
      </w: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ve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yla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 bak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, bir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ncenin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ruluk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de ilgilendirmektedir. Normal ko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ullarda, bir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/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nermenin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unun tayini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in,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zlem ve deney yeterlidir; fakat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 bir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lem, arka planda, neyin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olarak kabul edildi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ine de ba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Bilimsel bir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nermede neyin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olarak kabul edildi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belirlidir; fakat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ilgilendiren bir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u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znel olabilir.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sadece bir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il,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 aras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ge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erli ili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kileri tespit edebilecek kurallar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-yani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anlay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- da ilgilendirmektedir.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indeki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im, sadece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lara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il,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 ve karar verme 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lerine bak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>da etkilemektedir.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Aristoteles mant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n, </w:t>
      </w:r>
      <w:r>
        <w:rPr>
          <w:sz w:val="26"/>
          <w:szCs w:val="26"/>
          <w:rtl w:val="0"/>
        </w:rPr>
        <w:t>“ö</w:t>
      </w:r>
      <w:r>
        <w:rPr>
          <w:sz w:val="26"/>
          <w:szCs w:val="26"/>
          <w:rtl w:val="0"/>
        </w:rPr>
        <w:t>zde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lik,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mezlik ve </w:t>
      </w:r>
      <w:r>
        <w:rPr>
          <w:sz w:val="26"/>
          <w:szCs w:val="26"/>
          <w:rtl w:val="0"/>
        </w:rPr>
        <w:t>üçü</w:t>
      </w:r>
      <w:r>
        <w:rPr>
          <w:sz w:val="26"/>
          <w:szCs w:val="26"/>
          <w:rtl w:val="0"/>
        </w:rPr>
        <w:t>nc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halin imkans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zl</w:t>
      </w:r>
      <w:r>
        <w:rPr>
          <w:sz w:val="26"/>
          <w:szCs w:val="26"/>
          <w:rtl w:val="0"/>
        </w:rPr>
        <w:t xml:space="preserve">ığı” </w:t>
      </w:r>
      <w:r>
        <w:rPr>
          <w:sz w:val="26"/>
          <w:szCs w:val="26"/>
          <w:rtl w:val="0"/>
        </w:rPr>
        <w:t xml:space="preserve">olarak bilinen </w:t>
      </w:r>
      <w:r>
        <w:rPr>
          <w:sz w:val="26"/>
          <w:szCs w:val="26"/>
          <w:rtl w:val="0"/>
        </w:rPr>
        <w:t xml:space="preserve">üç </w:t>
      </w:r>
      <w:r>
        <w:rPr>
          <w:sz w:val="26"/>
          <w:szCs w:val="26"/>
          <w:rtl w:val="0"/>
        </w:rPr>
        <w:t xml:space="preserve">temel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yasa</w:t>
      </w:r>
      <w:r>
        <w:rPr>
          <w:sz w:val="26"/>
          <w:szCs w:val="26"/>
          <w:rtl w:val="0"/>
        </w:rPr>
        <w:t>” ü</w:t>
      </w:r>
      <w:r>
        <w:rPr>
          <w:sz w:val="26"/>
          <w:szCs w:val="26"/>
          <w:rtl w:val="0"/>
        </w:rPr>
        <w:t>zerine kuruldu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 kabul edilir. Bu yasalar akl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kurallar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olarak yorumlan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r(-d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): toplumu ve insan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anlamada, hukuk sisteminin in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dini metinlerin yorumuna,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anla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topluma bak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 kurgulanmas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 kadar uzanan alanlarda hep -s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zkonusu yasalar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zerine in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 edilmi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olan-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lagelmi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tir. Ne var ki bu </w:t>
      </w:r>
      <w:r>
        <w:rPr>
          <w:sz w:val="26"/>
          <w:szCs w:val="26"/>
          <w:rtl w:val="0"/>
          <w:lang w:val="en-US"/>
        </w:rPr>
        <w:t>yasalar</w:t>
      </w:r>
      <w:r>
        <w:rPr>
          <w:sz w:val="26"/>
          <w:szCs w:val="26"/>
          <w:rtl w:val="0"/>
        </w:rPr>
        <w:t>a 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yer vermeyen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sistemleri kuruldu; ve sonu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ta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mant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k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kavram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kendisi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 xml:space="preserve">de </w:t>
      </w:r>
      <w:r>
        <w:rPr>
          <w:sz w:val="26"/>
          <w:szCs w:val="26"/>
          <w:rtl w:val="0"/>
          <w:lang w:val="en-US"/>
        </w:rPr>
        <w:t xml:space="preserve">post modern bir </w:t>
      </w:r>
      <w:r>
        <w:rPr>
          <w:sz w:val="26"/>
          <w:szCs w:val="26"/>
          <w:rtl w:val="0"/>
          <w:lang w:val="en-US"/>
        </w:rPr>
        <w:t>ö</w:t>
      </w:r>
      <w:r>
        <w:rPr>
          <w:sz w:val="26"/>
          <w:szCs w:val="26"/>
          <w:rtl w:val="0"/>
          <w:lang w:val="en-US"/>
        </w:rPr>
        <w:t>zellik kazan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oldu</w:t>
      </w:r>
      <w:r>
        <w:rPr>
          <w:sz w:val="26"/>
          <w:szCs w:val="26"/>
          <w:rtl w:val="0"/>
          <w:lang w:val="en-US"/>
        </w:rPr>
        <w:t xml:space="preserve">. </w:t>
      </w:r>
    </w:p>
    <w:p>
      <w:pPr>
        <w:pStyle w:val="Gövde A"/>
        <w:jc w:val="both"/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Aristoteles mant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rlar boyu ele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tirildi ve terk edilmek istenildi. 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lgin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tir Aristoteles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in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anlay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ele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tirilere sonuna kadar direndi ve XIX. Asr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sonlar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 kadar ge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erlili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korudu. Halbuki yeni bir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deney ve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zlem yapmaya, teknolojik ara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lara gerek yoktur.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yor ki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ncenin, bak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mesi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yine akl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kendisine gerek vard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r: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itli 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rel etkenler, bireysel tercihler, toplumun ve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evrenin dikte etti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erlerin bask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kurtulabilmesi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l, kendi imkanlar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nda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 bir olana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a sahip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ildir. Sadece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alan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il,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klid-d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>geometriler gibi yine akl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kendisi taraf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in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 edilen sistemlerdeki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im, benzeri sebeplerle, hi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de kolay olmam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36"/>
          <w:szCs w:val="36"/>
        </w:rPr>
      </w:pP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k;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ncedeki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imi 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lan bir ara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r, ama bunun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in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nce kendisinin yenilenmesi ve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tirilmesi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gerekir. Bunun kolay olmad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tarihi olaylar bize 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ylemektedir.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ime direnmenin temel dayanaklar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kavramlard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r: 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nk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kavramlar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al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lagelmi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erikleri davran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ncelerimizi, tercihlerimizi, kabullerimizi 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nlendirirler. Onlara yeni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erikler kazand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rmak, Einstein'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deyi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iyle,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atomu par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alamaktan daha zordur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Yukar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da da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aret edildi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en-US"/>
        </w:rPr>
        <w:t xml:space="preserve"> gibi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bir formel siste</w:t>
      </w:r>
      <w:r>
        <w:rPr>
          <w:sz w:val="26"/>
          <w:szCs w:val="26"/>
          <w:rtl w:val="0"/>
        </w:rPr>
        <w:t>m ve bir bilim</w:t>
      </w:r>
      <w:r>
        <w:rPr>
          <w:sz w:val="26"/>
          <w:szCs w:val="26"/>
          <w:rtl w:val="0"/>
          <w:lang w:val="en-US"/>
        </w:rPr>
        <w:t xml:space="preserve"> olarak mant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 xml:space="preserve">k,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pk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matematik gibi, nesnel bir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r;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yla da </w:t>
      </w:r>
      <w:r>
        <w:rPr>
          <w:sz w:val="26"/>
          <w:szCs w:val="26"/>
          <w:rtl w:val="0"/>
          <w:lang w:val="en-US"/>
        </w:rPr>
        <w:t>i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inde niyetlere yer verme</w:t>
      </w:r>
      <w:r>
        <w:rPr>
          <w:sz w:val="26"/>
          <w:szCs w:val="26"/>
          <w:rtl w:val="0"/>
        </w:rPr>
        <w:t>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gibi fizik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nyaya ili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kin bir yarg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da dikte etmez. Nitekim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kalem beyazd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 xml:space="preserve">gibi bir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nerme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 ne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ne de yanl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r; ancak empirik olarak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erlendirilebilir.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en t</w:t>
      </w:r>
      <w:r>
        <w:rPr>
          <w:sz w:val="26"/>
          <w:szCs w:val="26"/>
          <w:rtl w:val="0"/>
          <w:lang w:val="en-US"/>
        </w:rPr>
        <w:t>eknoloji, bilimsel, k</w:t>
      </w:r>
      <w:r>
        <w:rPr>
          <w:sz w:val="26"/>
          <w:szCs w:val="26"/>
          <w:rtl w:val="0"/>
          <w:lang w:val="en-US"/>
        </w:rPr>
        <w:t>ü</w:t>
      </w:r>
      <w:r>
        <w:rPr>
          <w:sz w:val="26"/>
          <w:szCs w:val="26"/>
          <w:rtl w:val="0"/>
          <w:lang w:val="en-US"/>
        </w:rPr>
        <w:t>lt</w:t>
      </w:r>
      <w:r>
        <w:rPr>
          <w:sz w:val="26"/>
          <w:szCs w:val="26"/>
          <w:rtl w:val="0"/>
          <w:lang w:val="en-US"/>
        </w:rPr>
        <w:t>ü</w:t>
      </w:r>
      <w:r>
        <w:rPr>
          <w:sz w:val="26"/>
          <w:szCs w:val="26"/>
          <w:rtl w:val="0"/>
          <w:lang w:val="en-US"/>
        </w:rPr>
        <w:t>rel, tarihi veya teolojik ko</w:t>
      </w:r>
      <w:r>
        <w:rPr>
          <w:sz w:val="26"/>
          <w:szCs w:val="26"/>
          <w:rtl w:val="0"/>
          <w:lang w:val="en-US"/>
        </w:rPr>
        <w:t>ş</w:t>
      </w:r>
      <w:r>
        <w:rPr>
          <w:sz w:val="26"/>
          <w:szCs w:val="26"/>
          <w:rtl w:val="0"/>
          <w:lang w:val="en-US"/>
        </w:rPr>
        <w:t>ullar</w:t>
      </w:r>
      <w:r>
        <w:rPr>
          <w:sz w:val="26"/>
          <w:szCs w:val="26"/>
          <w:rtl w:val="0"/>
        </w:rPr>
        <w:t>, sava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,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salg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hastal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klar,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al afetler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nun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tir. Bu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al olarak, bireysel, toplumsal hatta bilimsel </w:t>
      </w:r>
      <w:r>
        <w:rPr>
          <w:sz w:val="26"/>
          <w:szCs w:val="26"/>
          <w:rtl w:val="0"/>
          <w:lang w:val="en-US"/>
        </w:rPr>
        <w:t>bak</w:t>
      </w:r>
      <w:r>
        <w:rPr>
          <w:sz w:val="26"/>
          <w:szCs w:val="26"/>
          <w:rtl w:val="0"/>
          <w:lang w:val="en-US"/>
        </w:rPr>
        <w:t xml:space="preserve">ış 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>çı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da etkilemi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tir.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im sadece tek tek olgulara bak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>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il, bir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halinde fizik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nyaya, insana ve topluma bak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da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tir. Bu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”ü </w:t>
      </w:r>
      <w:r>
        <w:rPr>
          <w:sz w:val="26"/>
          <w:szCs w:val="26"/>
          <w:rtl w:val="0"/>
        </w:rPr>
        <w:t>tutarl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olarak ifade edebilmek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bir araca, yani mant</w:t>
      </w:r>
      <w:r>
        <w:rPr>
          <w:sz w:val="26"/>
          <w:szCs w:val="26"/>
          <w:rtl w:val="0"/>
        </w:rPr>
        <w:t>ığ</w:t>
      </w:r>
      <w:r>
        <w:rPr>
          <w:sz w:val="26"/>
          <w:szCs w:val="26"/>
          <w:rtl w:val="0"/>
        </w:rPr>
        <w:t>a ihtiya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vard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h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zla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en -post modern- bak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 xml:space="preserve">tek bir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veya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sistemi arac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 xml:space="preserve">yla ifade etmek veya anlamaya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mak 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yeterli olmamaktad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r; farkl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sistemlerini ve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farkl</w:t>
      </w:r>
      <w:r>
        <w:rPr>
          <w:sz w:val="26"/>
          <w:szCs w:val="26"/>
          <w:rtl w:val="0"/>
        </w:rPr>
        <w:t>ı 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kullanmak gerekmektedir.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karakterize etmede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lan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  <w:lang w:val="en-US"/>
        </w:rPr>
        <w:t>ost modern mant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k</w:t>
      </w:r>
      <w:r>
        <w:rPr>
          <w:sz w:val="26"/>
          <w:szCs w:val="26"/>
          <w:rtl w:val="0"/>
        </w:rPr>
        <w:t>/bak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</w:rPr>
        <w:t xml:space="preserve">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in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mutlak ve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mez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ildir; esasen farkl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sistemleri,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rne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 puslu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k,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ok-de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erli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gibi sistemler, bir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iki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erli olmaktan 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karm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lard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Bu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sistemleri, bir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ve yanl</w:t>
      </w:r>
      <w:r>
        <w:rPr>
          <w:sz w:val="26"/>
          <w:szCs w:val="26"/>
          <w:rtl w:val="0"/>
        </w:rPr>
        <w:t xml:space="preserve">ış” </w:t>
      </w:r>
      <w:r>
        <w:rPr>
          <w:sz w:val="26"/>
          <w:szCs w:val="26"/>
          <w:rtl w:val="0"/>
        </w:rPr>
        <w:t>ikili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eri yerine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bir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ile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 xml:space="preserve">veya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belirsiz</w:t>
      </w:r>
      <w:r>
        <w:rPr>
          <w:sz w:val="26"/>
          <w:szCs w:val="26"/>
          <w:rtl w:val="0"/>
        </w:rPr>
        <w:t xml:space="preserve">”  </w:t>
      </w:r>
      <w:r>
        <w:rPr>
          <w:sz w:val="26"/>
          <w:szCs w:val="26"/>
          <w:rtl w:val="0"/>
        </w:rPr>
        <w:t xml:space="preserve">olacak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mlamaktad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rlar. </w:t>
      </w:r>
    </w:p>
    <w:p>
      <w:pPr>
        <w:pStyle w:val="Gövde A"/>
        <w:jc w:val="both"/>
        <w:rPr>
          <w:sz w:val="26"/>
          <w:szCs w:val="26"/>
        </w:rPr>
      </w:pPr>
    </w:p>
    <w:p>
      <w:pPr>
        <w:pStyle w:val="Gövde A"/>
        <w:jc w:val="both"/>
      </w:pP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  <w:lang w:val="en-US"/>
        </w:rPr>
        <w:t xml:space="preserve">araconsistent </w:t>
      </w:r>
      <w:r>
        <w:rPr>
          <w:sz w:val="26"/>
          <w:szCs w:val="26"/>
          <w:rtl w:val="0"/>
        </w:rPr>
        <w:t>(tutarl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tesi) </w:t>
      </w:r>
      <w:r>
        <w:rPr>
          <w:sz w:val="26"/>
          <w:szCs w:val="26"/>
          <w:rtl w:val="0"/>
          <w:lang w:val="en-US"/>
        </w:rPr>
        <w:t>mant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k</w:t>
      </w:r>
      <w:r>
        <w:rPr>
          <w:sz w:val="26"/>
          <w:szCs w:val="26"/>
          <w:rtl w:val="0"/>
        </w:rPr>
        <w:t xml:space="preserve"> da 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erleri gibi </w:t>
      </w:r>
      <w:r>
        <w:rPr>
          <w:sz w:val="26"/>
          <w:szCs w:val="26"/>
          <w:rtl w:val="0"/>
          <w:lang w:val="en-US"/>
        </w:rPr>
        <w:t>tutarl</w:t>
      </w:r>
      <w:r>
        <w:rPr>
          <w:sz w:val="26"/>
          <w:szCs w:val="26"/>
          <w:rtl w:val="0"/>
          <w:lang w:val="en-US"/>
        </w:rPr>
        <w:t xml:space="preserve">ı </w:t>
      </w:r>
      <w:r>
        <w:rPr>
          <w:sz w:val="26"/>
          <w:szCs w:val="26"/>
          <w:rtl w:val="0"/>
          <w:lang w:val="en-US"/>
        </w:rPr>
        <w:t>bir sistemdir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i,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ik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birlikte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lmesine olanak vermesidir.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 xml:space="preserve">Bu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zellik, </w:t>
      </w:r>
      <w:r>
        <w:rPr>
          <w:sz w:val="26"/>
          <w:szCs w:val="26"/>
          <w:rtl w:val="0"/>
          <w:lang w:val="en-US"/>
        </w:rPr>
        <w:t>geleneksel mant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 xml:space="preserve">k </w:t>
      </w:r>
      <w:r>
        <w:rPr>
          <w:sz w:val="26"/>
          <w:szCs w:val="26"/>
          <w:rtl w:val="0"/>
        </w:rPr>
        <w:t>sistemlerinin tamamen 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nda kalmaktad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Bu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sayesinde, 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zgelimi </w:t>
      </w:r>
      <w:r>
        <w:rPr>
          <w:sz w:val="26"/>
          <w:szCs w:val="26"/>
          <w:rtl w:val="0"/>
          <w:lang w:val="en-US"/>
        </w:rPr>
        <w:t xml:space="preserve"> g</w:t>
      </w:r>
      <w:r>
        <w:rPr>
          <w:sz w:val="26"/>
          <w:szCs w:val="26"/>
          <w:rtl w:val="0"/>
          <w:lang w:val="en-US"/>
        </w:rPr>
        <w:t>ü</w:t>
      </w:r>
      <w:r>
        <w:rPr>
          <w:sz w:val="26"/>
          <w:szCs w:val="26"/>
          <w:rtl w:val="0"/>
          <w:lang w:val="en-US"/>
        </w:rPr>
        <w:t>nl</w:t>
      </w:r>
      <w:r>
        <w:rPr>
          <w:sz w:val="26"/>
          <w:szCs w:val="26"/>
          <w:rtl w:val="0"/>
          <w:lang w:val="en-US"/>
        </w:rPr>
        <w:t>ü</w:t>
      </w:r>
      <w:r>
        <w:rPr>
          <w:sz w:val="26"/>
          <w:szCs w:val="26"/>
          <w:rtl w:val="0"/>
          <w:lang w:val="en-US"/>
        </w:rPr>
        <w:t>k ya</w:t>
      </w:r>
      <w:r>
        <w:rPr>
          <w:sz w:val="26"/>
          <w:szCs w:val="26"/>
          <w:rtl w:val="0"/>
          <w:lang w:val="en-US"/>
        </w:rPr>
        <w:t>ş</w:t>
      </w:r>
      <w:r>
        <w:rPr>
          <w:sz w:val="26"/>
          <w:szCs w:val="26"/>
          <w:rtl w:val="0"/>
          <w:lang w:val="en-US"/>
        </w:rPr>
        <w:t>amda kar</w:t>
      </w:r>
      <w:r>
        <w:rPr>
          <w:sz w:val="26"/>
          <w:szCs w:val="26"/>
          <w:rtl w:val="0"/>
          <w:lang w:val="en-US"/>
        </w:rPr>
        <w:t>şı</w:t>
      </w:r>
      <w:r>
        <w:rPr>
          <w:sz w:val="26"/>
          <w:szCs w:val="26"/>
          <w:rtl w:val="0"/>
          <w:lang w:val="en-US"/>
        </w:rPr>
        <w:t>m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 xml:space="preserve">za </w:t>
      </w:r>
      <w:r>
        <w:rPr>
          <w:sz w:val="26"/>
          <w:szCs w:val="26"/>
          <w:rtl w:val="0"/>
          <w:lang w:val="en-US"/>
        </w:rPr>
        <w:t>çı</w:t>
      </w:r>
      <w:r>
        <w:rPr>
          <w:sz w:val="26"/>
          <w:szCs w:val="26"/>
          <w:rtl w:val="0"/>
          <w:lang w:val="en-US"/>
        </w:rPr>
        <w:t>kan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kar</w:t>
      </w:r>
      <w:r>
        <w:rPr>
          <w:sz w:val="26"/>
          <w:szCs w:val="26"/>
          <w:rtl w:val="0"/>
          <w:lang w:val="en-US"/>
        </w:rPr>
        <w:t>şı</w:t>
      </w:r>
      <w:r>
        <w:rPr>
          <w:sz w:val="26"/>
          <w:szCs w:val="26"/>
          <w:rtl w:val="0"/>
          <w:lang w:val="en-US"/>
        </w:rPr>
        <w:t>t yarg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birlikte dikkate almak, bu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 yarg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  <w:lang w:val="en-US"/>
        </w:rPr>
        <w:t xml:space="preserve"> arac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l</w:t>
      </w:r>
      <w:r>
        <w:rPr>
          <w:sz w:val="26"/>
          <w:szCs w:val="26"/>
          <w:rtl w:val="0"/>
          <w:lang w:val="en-US"/>
        </w:rPr>
        <w:t>ığı</w:t>
      </w:r>
      <w:r>
        <w:rPr>
          <w:sz w:val="26"/>
          <w:szCs w:val="26"/>
          <w:rtl w:val="0"/>
          <w:lang w:val="en-US"/>
        </w:rPr>
        <w:t>yla d</w:t>
      </w:r>
      <w:r>
        <w:rPr>
          <w:sz w:val="26"/>
          <w:szCs w:val="26"/>
          <w:rtl w:val="0"/>
          <w:lang w:val="en-US"/>
        </w:rPr>
        <w:t>üşü</w:t>
      </w:r>
      <w:r>
        <w:rPr>
          <w:sz w:val="26"/>
          <w:szCs w:val="26"/>
          <w:rtl w:val="0"/>
          <w:lang w:val="en-US"/>
        </w:rPr>
        <w:t>nebilme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en-US"/>
        </w:rPr>
        <w:t xml:space="preserve"> ve </w:t>
      </w:r>
      <w:r>
        <w:rPr>
          <w:sz w:val="26"/>
          <w:szCs w:val="26"/>
          <w:rtl w:val="0"/>
          <w:lang w:val="en-US"/>
        </w:rPr>
        <w:t>çı</w:t>
      </w:r>
      <w:r>
        <w:rPr>
          <w:sz w:val="26"/>
          <w:szCs w:val="26"/>
          <w:rtl w:val="0"/>
          <w:lang w:val="en-US"/>
        </w:rPr>
        <w:t>kar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m yapabilme olana</w:t>
      </w:r>
      <w:r>
        <w:rPr>
          <w:sz w:val="26"/>
          <w:szCs w:val="26"/>
          <w:rtl w:val="0"/>
        </w:rPr>
        <w:t xml:space="preserve">ğı </w:t>
      </w:r>
      <w:r>
        <w:rPr>
          <w:sz w:val="26"/>
          <w:szCs w:val="26"/>
          <w:rtl w:val="0"/>
        </w:rPr>
        <w:t>elde edilmektedir</w:t>
      </w:r>
      <w:r>
        <w:rPr>
          <w:sz w:val="26"/>
          <w:szCs w:val="26"/>
          <w:vertAlign w:val="superscript"/>
        </w:rPr>
        <w:footnoteReference w:id="2"/>
      </w:r>
      <w:r>
        <w:rPr>
          <w:sz w:val="26"/>
          <w:szCs w:val="26"/>
          <w:rtl w:val="0"/>
          <w:lang w:val="en-US"/>
        </w:rPr>
        <w:t xml:space="preserve">. </w:t>
      </w:r>
      <w:r>
        <w:rPr>
          <w:sz w:val="26"/>
          <w:szCs w:val="26"/>
          <w:rtl w:val="0"/>
        </w:rPr>
        <w:t xml:space="preserve">Geleneksel bir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ok sorunu,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rne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 t</w:t>
      </w:r>
      <w:r>
        <w:rPr>
          <w:sz w:val="26"/>
          <w:szCs w:val="26"/>
          <w:rtl w:val="0"/>
          <w:lang w:val="en-US"/>
        </w:rPr>
        <w:t xml:space="preserve">arih boyunca 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ok</w:t>
      </w:r>
      <w:r>
        <w:rPr>
          <w:sz w:val="26"/>
          <w:szCs w:val="26"/>
          <w:rtl w:val="0"/>
          <w:lang w:val="en-US"/>
        </w:rPr>
        <w:t>ç</w:t>
      </w:r>
      <w:r>
        <w:rPr>
          <w:sz w:val="26"/>
          <w:szCs w:val="26"/>
          <w:rtl w:val="0"/>
          <w:lang w:val="en-US"/>
        </w:rPr>
        <w:t>a tart</w:t>
      </w:r>
      <w:r>
        <w:rPr>
          <w:sz w:val="26"/>
          <w:szCs w:val="26"/>
          <w:rtl w:val="0"/>
          <w:lang w:val="en-US"/>
        </w:rPr>
        <w:t>ışı</w:t>
      </w:r>
      <w:r>
        <w:rPr>
          <w:sz w:val="26"/>
          <w:szCs w:val="26"/>
          <w:rtl w:val="0"/>
          <w:lang w:val="en-US"/>
        </w:rPr>
        <w:t>lm</w:t>
      </w:r>
      <w:r>
        <w:rPr>
          <w:sz w:val="26"/>
          <w:szCs w:val="26"/>
          <w:rtl w:val="0"/>
          <w:lang w:val="en-US"/>
        </w:rPr>
        <w:t>ış “</w:t>
      </w:r>
      <w:r>
        <w:rPr>
          <w:sz w:val="26"/>
          <w:szCs w:val="26"/>
          <w:rtl w:val="0"/>
          <w:lang w:val="en-US"/>
        </w:rPr>
        <w:t>inan</w:t>
      </w:r>
      <w:r>
        <w:rPr>
          <w:sz w:val="26"/>
          <w:szCs w:val="26"/>
          <w:rtl w:val="0"/>
          <w:lang w:val="en-US"/>
        </w:rPr>
        <w:t xml:space="preserve">ç </w:t>
      </w:r>
      <w:r>
        <w:rPr>
          <w:sz w:val="26"/>
          <w:szCs w:val="26"/>
          <w:rtl w:val="0"/>
          <w:lang w:val="en-US"/>
        </w:rPr>
        <w:t>m</w:t>
      </w:r>
      <w:r>
        <w:rPr>
          <w:sz w:val="26"/>
          <w:szCs w:val="26"/>
          <w:rtl w:val="0"/>
          <w:lang w:val="en-US"/>
        </w:rPr>
        <w:t xml:space="preserve">ı </w:t>
      </w:r>
      <w:r>
        <w:rPr>
          <w:sz w:val="26"/>
          <w:szCs w:val="26"/>
          <w:rtl w:val="0"/>
          <w:lang w:val="en-US"/>
        </w:rPr>
        <w:t>ak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l m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?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gibi bir sorunu, </w:t>
      </w:r>
      <w:r>
        <w:rPr>
          <w:sz w:val="26"/>
          <w:szCs w:val="26"/>
          <w:rtl w:val="0"/>
        </w:rPr>
        <w:t>paraconsistent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veya </w:t>
      </w:r>
      <w:r>
        <w:rPr>
          <w:sz w:val="26"/>
          <w:szCs w:val="26"/>
          <w:rtl w:val="0"/>
          <w:lang w:val="en-US"/>
        </w:rPr>
        <w:t>post modern</w:t>
      </w:r>
      <w:r>
        <w:rPr>
          <w:sz w:val="26"/>
          <w:szCs w:val="26"/>
          <w:rtl w:val="0"/>
        </w:rPr>
        <w:t xml:space="preserve">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>çı</w:t>
      </w:r>
      <w:r>
        <w:rPr>
          <w:sz w:val="26"/>
          <w:szCs w:val="26"/>
          <w:rtl w:val="0"/>
          <w:lang w:val="en-US"/>
        </w:rPr>
        <w:t>s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ndan</w:t>
      </w:r>
      <w:r>
        <w:rPr>
          <w:sz w:val="26"/>
          <w:szCs w:val="26"/>
          <w:rtl w:val="0"/>
        </w:rPr>
        <w:t xml:space="preserve"> ç</w:t>
      </w:r>
      <w:r>
        <w:rPr>
          <w:sz w:val="26"/>
          <w:szCs w:val="26"/>
          <w:rtl w:val="0"/>
        </w:rPr>
        <w:t>ok farkl</w:t>
      </w:r>
      <w:r>
        <w:rPr>
          <w:sz w:val="26"/>
          <w:szCs w:val="26"/>
          <w:rtl w:val="0"/>
        </w:rPr>
        <w:t>ı ş</w:t>
      </w:r>
      <w:r>
        <w:rPr>
          <w:sz w:val="26"/>
          <w:szCs w:val="26"/>
          <w:rtl w:val="0"/>
        </w:rPr>
        <w:t>ekilde ele almak 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r. </w:t>
      </w:r>
      <w:r>
        <w:rPr>
          <w:sz w:val="26"/>
          <w:szCs w:val="26"/>
          <w:rtl w:val="0"/>
          <w:lang w:val="en-US"/>
        </w:rPr>
        <w:t>Çü</w:t>
      </w:r>
      <w:r>
        <w:rPr>
          <w:sz w:val="26"/>
          <w:szCs w:val="26"/>
          <w:rtl w:val="0"/>
          <w:lang w:val="en-US"/>
        </w:rPr>
        <w:t>nk</w:t>
      </w:r>
      <w:r>
        <w:rPr>
          <w:sz w:val="26"/>
          <w:szCs w:val="26"/>
          <w:rtl w:val="0"/>
          <w:lang w:val="en-US"/>
        </w:rPr>
        <w:t xml:space="preserve">ü </w:t>
      </w:r>
      <w:r>
        <w:rPr>
          <w:sz w:val="26"/>
          <w:szCs w:val="26"/>
          <w:rtl w:val="0"/>
          <w:lang w:val="en-US"/>
        </w:rPr>
        <w:t>art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k</w:t>
      </w:r>
      <w:r>
        <w:rPr>
          <w:sz w:val="26"/>
          <w:szCs w:val="26"/>
          <w:rtl w:val="0"/>
        </w:rPr>
        <w:t xml:space="preserve"> ne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 xml:space="preserve">geleneksel </w:t>
      </w:r>
      <w:r>
        <w:rPr>
          <w:sz w:val="26"/>
          <w:szCs w:val="26"/>
          <w:rtl w:val="0"/>
          <w:lang w:val="en-US"/>
        </w:rPr>
        <w:t>mant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>k yasalar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</w:rPr>
        <w:t xml:space="preserve">ndan ne de tek bir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ak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veya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inan</w:t>
      </w:r>
      <w:r>
        <w:rPr>
          <w:sz w:val="26"/>
          <w:szCs w:val="26"/>
          <w:rtl w:val="0"/>
          <w:lang w:val="en-US"/>
        </w:rPr>
        <w:t xml:space="preserve">ç”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zetmek 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n-US"/>
        </w:rPr>
        <w:t xml:space="preserve">.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Solipsist mant</w:t>
      </w:r>
      <w:r>
        <w:rPr>
          <w:sz w:val="26"/>
          <w:szCs w:val="26"/>
          <w:rtl w:val="0"/>
          <w:lang w:val="en-US"/>
        </w:rPr>
        <w:t>ığı</w:t>
      </w:r>
      <w:r>
        <w:rPr>
          <w:sz w:val="26"/>
          <w:szCs w:val="26"/>
          <w:rtl w:val="0"/>
          <w:lang w:val="en-US"/>
        </w:rPr>
        <w:t>n</w:t>
      </w:r>
      <w:r>
        <w:rPr>
          <w:sz w:val="26"/>
          <w:szCs w:val="26"/>
          <w:vertAlign w:val="superscript"/>
        </w:rPr>
        <w:footnoteReference w:id="3"/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 xml:space="preserve">da </w:t>
      </w:r>
      <w:r>
        <w:rPr>
          <w:sz w:val="26"/>
          <w:szCs w:val="26"/>
          <w:rtl w:val="0"/>
          <w:lang w:val="en-US"/>
        </w:rPr>
        <w:t>baz</w:t>
      </w:r>
      <w:r>
        <w:rPr>
          <w:sz w:val="26"/>
          <w:szCs w:val="26"/>
          <w:rtl w:val="0"/>
          <w:lang w:val="en-US"/>
        </w:rPr>
        <w:t xml:space="preserve">ı </w:t>
      </w:r>
      <w:r>
        <w:rPr>
          <w:sz w:val="26"/>
          <w:szCs w:val="26"/>
          <w:rtl w:val="0"/>
          <w:lang w:val="en-US"/>
        </w:rPr>
        <w:t>eski sorunlara cevap aramada bize yeni olanaklar sa</w:t>
      </w:r>
      <w:r>
        <w:rPr>
          <w:sz w:val="26"/>
          <w:szCs w:val="26"/>
          <w:rtl w:val="0"/>
          <w:lang w:val="en-US"/>
        </w:rPr>
        <w:t>ğ</w:t>
      </w:r>
      <w:r>
        <w:rPr>
          <w:sz w:val="26"/>
          <w:szCs w:val="26"/>
          <w:rtl w:val="0"/>
          <w:lang w:val="en-US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yaca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 xml:space="preserve">na </w:t>
      </w:r>
      <w:r>
        <w:rPr>
          <w:sz w:val="26"/>
          <w:szCs w:val="26"/>
          <w:rtl w:val="0"/>
          <w:lang w:val="en-US"/>
        </w:rPr>
        <w:t>inan</w:t>
      </w:r>
      <w:r>
        <w:rPr>
          <w:sz w:val="26"/>
          <w:szCs w:val="26"/>
          <w:rtl w:val="0"/>
          <w:lang w:val="en-US"/>
        </w:rPr>
        <w:t>ı</w:t>
      </w:r>
      <w:r>
        <w:rPr>
          <w:sz w:val="26"/>
          <w:szCs w:val="26"/>
          <w:rtl w:val="0"/>
          <w:lang w:val="en-US"/>
        </w:rPr>
        <w:t xml:space="preserve">yorum.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saca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ne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 yarar?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 xml:space="preserve">gibi tek boyutlu bir soru yerine,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nas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yeniden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mlayabilirim?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ne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 yaratabilirim?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nerede ve nas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kullanabilirim?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gibi sorular sorman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ve bu sorulara da uygun 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sistemleri kullanarak cevap araman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k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ok daha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mant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ı” </w:t>
      </w:r>
      <w:r>
        <w:rPr>
          <w:sz w:val="26"/>
          <w:szCs w:val="26"/>
          <w:rtl w:val="0"/>
        </w:rPr>
        <w:t>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lmektedir.</w:t>
      </w: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Şafak Ural" w:date="2021-02-28T09:59:28Z">
    <w:p w14:paraId="1111FFFF">
      <w:pPr>
        <w:pStyle w:val="Saptanmış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Dipnot"/>
      </w:pPr>
      <w:r>
        <w:rPr>
          <w:sz w:val="36"/>
          <w:szCs w:val="36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>İ</w:t>
      </w:r>
      <w:r>
        <w:rPr>
          <w:rFonts w:cs="Arial Unicode MS" w:eastAsia="Arial Unicode MS"/>
          <w:rtl w:val="0"/>
        </w:rPr>
        <w:t xml:space="preserve">stinye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niversitesi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İ</w:t>
      </w:r>
      <w:r>
        <w:rPr>
          <w:rFonts w:cs="Arial Unicode MS" w:eastAsia="Arial Unicode MS"/>
          <w:rtl w:val="0"/>
        </w:rPr>
        <w:t>stanbul/T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 xml:space="preserve">rkiye </w:t>
      </w:r>
    </w:p>
  </w:footnote>
  <w:footnote w:id="2">
    <w:p>
      <w:pPr>
        <w:pStyle w:val="Dipnot"/>
      </w:pPr>
      <w:r>
        <w:rPr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Ö</w:t>
      </w:r>
      <w:r>
        <w:rPr>
          <w:rFonts w:cs="Arial Unicode MS" w:eastAsia="Arial Unicode MS"/>
          <w:rtl w:val="0"/>
        </w:rPr>
        <w:t>rne</w:t>
      </w:r>
      <w:r>
        <w:rPr>
          <w:rFonts w:cs="Arial Unicode MS" w:eastAsia="Arial Unicode MS" w:hint="default"/>
          <w:rtl w:val="0"/>
        </w:rPr>
        <w:t>ğ</w:t>
      </w:r>
      <w:r>
        <w:rPr>
          <w:rFonts w:cs="Arial Unicode MS" w:eastAsia="Arial Unicode MS"/>
          <w:rtl w:val="0"/>
        </w:rPr>
        <w:t>in, B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ziau, J.Y., Carnielli, W., Gabbay, D. (Eds). (2007). Handbook of Paraconsistency. Studies in Logic vol 9, College Pub.</w:t>
      </w:r>
    </w:p>
  </w:footnote>
  <w:footnote w:id="3">
    <w:p>
      <w:pPr>
        <w:pStyle w:val="Dipnot"/>
      </w:pPr>
      <w:r>
        <w:rPr>
          <w:sz w:val="26"/>
          <w:szCs w:val="26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Ural, S. (2019) Solipsism, Vernon Press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ipnot">
    <w:name w:val="Dipnot"/>
    <w:next w:val="Dipn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